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26" w:rsidRDefault="00F73226" w:rsidP="00F73226">
      <w:pPr>
        <w:pStyle w:val="FrontPageTitle"/>
      </w:pPr>
    </w:p>
    <w:p w:rsidR="00A6695F" w:rsidRDefault="00A6695F" w:rsidP="00F73226">
      <w:pPr>
        <w:pStyle w:val="FrontPageTitle"/>
      </w:pPr>
    </w:p>
    <w:p w:rsidR="00F73226" w:rsidRPr="00EB3A24" w:rsidRDefault="00F73226" w:rsidP="00F73226">
      <w:pPr>
        <w:pStyle w:val="FrontPageTitle"/>
      </w:pPr>
      <w:r w:rsidRPr="00EB3A24">
        <w:t xml:space="preserve">SCOTTISH CAPITAL </w:t>
      </w:r>
    </w:p>
    <w:p w:rsidR="00F73226" w:rsidRDefault="00F73226" w:rsidP="00F73226">
      <w:pPr>
        <w:pStyle w:val="FrontPageTitle"/>
      </w:pPr>
      <w:r w:rsidRPr="00EB3A24">
        <w:t>INVESTMENT MANUAL</w:t>
      </w:r>
    </w:p>
    <w:p w:rsidR="00F73226" w:rsidRDefault="00F73226" w:rsidP="00F73226">
      <w:pPr>
        <w:pStyle w:val="FrontPageTitle"/>
      </w:pPr>
    </w:p>
    <w:p w:rsidR="00D7535B" w:rsidRDefault="00506D59">
      <w:pPr>
        <w:pStyle w:val="FrontPageTitle"/>
        <w:spacing w:after="0"/>
      </w:pPr>
      <w:r>
        <w:t xml:space="preserve">Project Monitoring </w:t>
      </w:r>
    </w:p>
    <w:p w:rsidR="00A84AFE" w:rsidRDefault="00506D59">
      <w:pPr>
        <w:pStyle w:val="FrontPageTitle"/>
        <w:spacing w:after="0"/>
      </w:pPr>
      <w:r>
        <w:t>&amp;</w:t>
      </w:r>
      <w:r w:rsidR="00D7535B">
        <w:t xml:space="preserve"> </w:t>
      </w:r>
      <w:r w:rsidR="00E04955">
        <w:t>Service</w:t>
      </w:r>
      <w:r w:rsidR="0008543D">
        <w:t xml:space="preserve"> </w:t>
      </w:r>
      <w:r w:rsidR="00B127C1">
        <w:t xml:space="preserve">Benefits </w:t>
      </w:r>
      <w:r>
        <w:t>Evaluation</w:t>
      </w:r>
    </w:p>
    <w:p w:rsidR="00F73226" w:rsidRDefault="00F73226" w:rsidP="00F73226">
      <w:pPr>
        <w:pStyle w:val="FrontPageTitle"/>
      </w:pPr>
    </w:p>
    <w:p w:rsidR="004305FE" w:rsidRDefault="004305FE" w:rsidP="00F73226">
      <w:pPr>
        <w:pStyle w:val="FrontPageTitle"/>
      </w:pPr>
      <w:r w:rsidRPr="004305FE">
        <w:rPr>
          <w:noProof/>
        </w:rPr>
        <w:drawing>
          <wp:inline distT="0" distB="0" distL="0" distR="0">
            <wp:extent cx="5486400" cy="3200400"/>
            <wp:effectExtent l="0" t="19050" r="0" b="1905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06D59" w:rsidRDefault="00506D59" w:rsidP="00F73226">
      <w:pPr>
        <w:pStyle w:val="FrontPageTitle"/>
        <w:jc w:val="center"/>
        <w:rPr>
          <w:color w:val="FF0000"/>
        </w:rPr>
      </w:pPr>
    </w:p>
    <w:p w:rsidR="00F73226" w:rsidRPr="002D22F1" w:rsidRDefault="00F73226" w:rsidP="00F73226">
      <w:pPr>
        <w:pStyle w:val="FrontPageTitle"/>
        <w:jc w:val="center"/>
        <w:rPr>
          <w:color w:val="FF0000"/>
        </w:rPr>
      </w:pPr>
    </w:p>
    <w:p w:rsidR="00F73226" w:rsidRDefault="00F73226" w:rsidP="00F73226">
      <w:pPr>
        <w:pStyle w:val="Standardparagraph"/>
        <w:rPr>
          <w:rFonts w:asciiTheme="minorHAnsi" w:eastAsiaTheme="minorHAnsi" w:hAnsiTheme="minorHAnsi" w:cstheme="minorBidi"/>
          <w:sz w:val="22"/>
          <w:szCs w:val="22"/>
        </w:rPr>
        <w:sectPr w:rsidR="00F73226" w:rsidSect="00532C63">
          <w:footerReference w:type="default" r:id="rId13"/>
          <w:pgSz w:w="11906" w:h="16838"/>
          <w:pgMar w:top="1440" w:right="1440" w:bottom="1440" w:left="1440" w:header="708" w:footer="708" w:gutter="0"/>
          <w:cols w:space="708"/>
          <w:docGrid w:linePitch="360"/>
        </w:sectPr>
      </w:pPr>
    </w:p>
    <w:p w:rsidR="00532C63" w:rsidRPr="00EB639F" w:rsidRDefault="00532C63" w:rsidP="00532C63">
      <w:pPr>
        <w:pStyle w:val="Heading1"/>
      </w:pPr>
      <w:bookmarkStart w:id="0" w:name="_Toc411867735"/>
      <w:r>
        <w:lastRenderedPageBreak/>
        <w:t>Introduction</w:t>
      </w:r>
      <w:bookmarkEnd w:id="0"/>
      <w:r w:rsidR="006C642C">
        <w:t xml:space="preserve"> and Policy Requirements</w:t>
      </w:r>
    </w:p>
    <w:p w:rsidR="00B21481" w:rsidRDefault="00B21481" w:rsidP="00B21481">
      <w:pPr>
        <w:pStyle w:val="Heading2"/>
      </w:pPr>
      <w:r>
        <w:t>Monitoring &amp; Evaluation</w:t>
      </w:r>
    </w:p>
    <w:p w:rsidR="00B21481" w:rsidRPr="0051521D" w:rsidRDefault="00B21481" w:rsidP="00A6695F">
      <w:pPr>
        <w:pStyle w:val="Standardparagraph"/>
        <w:rPr>
          <w:color w:val="000000" w:themeColor="text1"/>
        </w:rPr>
      </w:pPr>
      <w:r w:rsidRPr="0051521D">
        <w:rPr>
          <w:color w:val="000000" w:themeColor="text1"/>
        </w:rPr>
        <w:t>This guidance defines monitoring as the systematic collection and review of information while a project is proceeding, whereas evaluation is described as the process of assessing the impact of a project (or programme) after it has come to an end.  When used in combination, they becom</w:t>
      </w:r>
      <w:r w:rsidR="001143A6" w:rsidRPr="0051521D">
        <w:rPr>
          <w:color w:val="000000" w:themeColor="text1"/>
        </w:rPr>
        <w:t>e an essential aid in realising</w:t>
      </w:r>
      <w:r w:rsidRPr="0051521D">
        <w:rPr>
          <w:color w:val="000000" w:themeColor="text1"/>
        </w:rPr>
        <w:t xml:space="preserve">, determining, and sharing </w:t>
      </w:r>
      <w:r w:rsidR="001143A6" w:rsidRPr="0051521D">
        <w:rPr>
          <w:color w:val="000000" w:themeColor="text1"/>
        </w:rPr>
        <w:t>the success of any project.</w:t>
      </w:r>
    </w:p>
    <w:p w:rsidR="001143A6" w:rsidRPr="0051521D" w:rsidRDefault="001143A6" w:rsidP="00A6695F">
      <w:pPr>
        <w:pStyle w:val="Standardparagraph"/>
        <w:rPr>
          <w:color w:val="000000" w:themeColor="text1"/>
        </w:rPr>
      </w:pPr>
      <w:r w:rsidRPr="0051521D">
        <w:rPr>
          <w:color w:val="000000" w:themeColor="text1"/>
        </w:rPr>
        <w:t>Guidance and instruction is provided on the appropriate use of these processes during the planning, implementation and completion of a project.  Two stages are defined; namely Project</w:t>
      </w:r>
      <w:r w:rsidR="00E04955" w:rsidRPr="0051521D">
        <w:rPr>
          <w:color w:val="000000" w:themeColor="text1"/>
        </w:rPr>
        <w:t xml:space="preserve"> Monitoring and Service</w:t>
      </w:r>
      <w:r w:rsidRPr="0051521D">
        <w:rPr>
          <w:color w:val="000000" w:themeColor="text1"/>
        </w:rPr>
        <w:t xml:space="preserve"> </w:t>
      </w:r>
      <w:r w:rsidR="00B127C1" w:rsidRPr="0051521D">
        <w:rPr>
          <w:color w:val="000000" w:themeColor="text1"/>
        </w:rPr>
        <w:t xml:space="preserve">Benefits </w:t>
      </w:r>
      <w:r w:rsidRPr="0051521D">
        <w:rPr>
          <w:color w:val="000000" w:themeColor="text1"/>
        </w:rPr>
        <w:t xml:space="preserve">Evaluation.  </w:t>
      </w:r>
      <w:r w:rsidR="002B5E46" w:rsidRPr="0051521D">
        <w:rPr>
          <w:color w:val="000000" w:themeColor="text1"/>
        </w:rPr>
        <w:t>Both of these stages will require a combination of both monitoring and evaluation but their names signify the influencing feature of each stage.</w:t>
      </w:r>
    </w:p>
    <w:p w:rsidR="002B5E46" w:rsidRPr="0051521D" w:rsidRDefault="001143A6" w:rsidP="00A6695F">
      <w:pPr>
        <w:pStyle w:val="Standardparagraph"/>
        <w:rPr>
          <w:color w:val="000000" w:themeColor="text1"/>
        </w:rPr>
      </w:pPr>
      <w:r w:rsidRPr="0051521D">
        <w:rPr>
          <w:color w:val="000000" w:themeColor="text1"/>
        </w:rPr>
        <w:t xml:space="preserve">Project Monitoring will cover the technical aspects of the planning, implementation and completion phases of a project (i.e. generally, the construction </w:t>
      </w:r>
      <w:r w:rsidR="00E04955" w:rsidRPr="0051521D">
        <w:rPr>
          <w:color w:val="000000" w:themeColor="text1"/>
        </w:rPr>
        <w:t>phase), and the Service</w:t>
      </w:r>
      <w:r w:rsidRPr="0051521D">
        <w:rPr>
          <w:color w:val="000000" w:themeColor="text1"/>
        </w:rPr>
        <w:t xml:space="preserve"> </w:t>
      </w:r>
      <w:r w:rsidR="00B127C1" w:rsidRPr="0051521D">
        <w:rPr>
          <w:color w:val="000000" w:themeColor="text1"/>
        </w:rPr>
        <w:t xml:space="preserve">Benefits </w:t>
      </w:r>
      <w:r w:rsidRPr="0051521D">
        <w:rPr>
          <w:color w:val="000000" w:themeColor="text1"/>
        </w:rPr>
        <w:t xml:space="preserve">Evaluation will </w:t>
      </w:r>
      <w:r w:rsidR="002B5E46" w:rsidRPr="0051521D">
        <w:rPr>
          <w:color w:val="000000" w:themeColor="text1"/>
        </w:rPr>
        <w:t>cover the impact of th</w:t>
      </w:r>
      <w:r w:rsidR="00E04955" w:rsidRPr="0051521D">
        <w:rPr>
          <w:color w:val="000000" w:themeColor="text1"/>
        </w:rPr>
        <w:t>e project on service change</w:t>
      </w:r>
      <w:r w:rsidR="002B5E46" w:rsidRPr="0051521D">
        <w:rPr>
          <w:color w:val="000000" w:themeColor="text1"/>
        </w:rPr>
        <w:t xml:space="preserve"> and benefits realisation – the project’s benefits register and realisation plan will form a significant part of this latter assessment.  </w:t>
      </w:r>
    </w:p>
    <w:p w:rsidR="007E0DCE" w:rsidRDefault="006C4F7E" w:rsidP="00A6695F">
      <w:pPr>
        <w:pStyle w:val="Heading2"/>
      </w:pPr>
      <w:r>
        <w:t>Why is monitoring and</w:t>
      </w:r>
      <w:r w:rsidR="003D63D7">
        <w:t xml:space="preserve"> </w:t>
      </w:r>
      <w:r w:rsidR="00A519DF">
        <w:t xml:space="preserve">evaluation </w:t>
      </w:r>
      <w:r w:rsidR="00532C63">
        <w:t>important?</w:t>
      </w:r>
    </w:p>
    <w:p w:rsidR="007E0DCE" w:rsidRDefault="00A519DF" w:rsidP="00A6695F">
      <w:pPr>
        <w:pStyle w:val="Standardparagraph"/>
      </w:pPr>
      <w:r>
        <w:t xml:space="preserve">If properly planned and resourced, </w:t>
      </w:r>
      <w:r w:rsidR="006C4F7E">
        <w:t>m</w:t>
      </w:r>
      <w:r w:rsidRPr="001103F0">
        <w:t>onitoring</w:t>
      </w:r>
      <w:r>
        <w:t xml:space="preserve"> and </w:t>
      </w:r>
      <w:r w:rsidR="006C4F7E">
        <w:t>e</w:t>
      </w:r>
      <w:r>
        <w:t xml:space="preserve">valuation can produce significant benefits to </w:t>
      </w:r>
      <w:r w:rsidR="001103F0">
        <w:t>an organisation</w:t>
      </w:r>
      <w:r w:rsidR="00164AD7">
        <w:t>, such as</w:t>
      </w:r>
      <w:r w:rsidR="00C63CDF">
        <w:t>:</w:t>
      </w:r>
      <w:r w:rsidR="00D534A1">
        <w:t xml:space="preserve"> </w:t>
      </w:r>
    </w:p>
    <w:p w:rsidR="007E0DCE" w:rsidRDefault="00542D57" w:rsidP="00A6695F">
      <w:pPr>
        <w:pStyle w:val="Standardbullet"/>
      </w:pPr>
      <w:r>
        <w:t>Monitoring</w:t>
      </w:r>
      <w:r w:rsidR="00783CEA">
        <w:t>:</w:t>
      </w:r>
    </w:p>
    <w:p w:rsidR="007E0DCE" w:rsidRDefault="00164AD7" w:rsidP="00A6695F">
      <w:pPr>
        <w:pStyle w:val="Standardsubbullet"/>
      </w:pPr>
      <w:r>
        <w:t xml:space="preserve">Gaining a better understanding of </w:t>
      </w:r>
      <w:r w:rsidR="00A519DF">
        <w:t xml:space="preserve">whether the project is running smoothly </w:t>
      </w:r>
      <w:r w:rsidR="00542D57">
        <w:t xml:space="preserve">and to programme </w:t>
      </w:r>
      <w:r w:rsidR="00A519DF">
        <w:t xml:space="preserve">so that </w:t>
      </w:r>
      <w:r>
        <w:t xml:space="preserve">any </w:t>
      </w:r>
      <w:r w:rsidR="00A519DF">
        <w:t xml:space="preserve">corrective action can be taken </w:t>
      </w:r>
      <w:r>
        <w:t>in a timely manner.</w:t>
      </w:r>
      <w:r w:rsidR="00D534A1">
        <w:t xml:space="preserve"> </w:t>
      </w:r>
    </w:p>
    <w:p w:rsidR="007E0DCE" w:rsidRDefault="00D534A1" w:rsidP="00A6695F">
      <w:pPr>
        <w:pStyle w:val="Standardsubbullet"/>
      </w:pPr>
      <w:r>
        <w:t>Enabl</w:t>
      </w:r>
      <w:r w:rsidR="00C63CDF">
        <w:t xml:space="preserve">ing </w:t>
      </w:r>
      <w:r>
        <w:t>service plans</w:t>
      </w:r>
      <w:r w:rsidR="00783CEA">
        <w:t xml:space="preserve"> </w:t>
      </w:r>
      <w:r>
        <w:t xml:space="preserve">/ changes to progress at </w:t>
      </w:r>
      <w:r w:rsidR="00C63CDF">
        <w:t xml:space="preserve">a </w:t>
      </w:r>
      <w:r>
        <w:t xml:space="preserve">correct pace to </w:t>
      </w:r>
      <w:r w:rsidR="00C63CDF">
        <w:t xml:space="preserve">align with </w:t>
      </w:r>
      <w:r w:rsidR="00783CEA">
        <w:t xml:space="preserve">the </w:t>
      </w:r>
      <w:r>
        <w:t>project p</w:t>
      </w:r>
      <w:r w:rsidR="00C63CDF">
        <w:t>rogramme</w:t>
      </w:r>
      <w:r w:rsidR="000C557D">
        <w:t>.</w:t>
      </w:r>
    </w:p>
    <w:p w:rsidR="007E0DCE" w:rsidRDefault="00C63CDF" w:rsidP="00A6695F">
      <w:pPr>
        <w:pStyle w:val="Standardsubbullet"/>
      </w:pPr>
      <w:r>
        <w:t>Better u</w:t>
      </w:r>
      <w:r w:rsidR="000C557D">
        <w:t>nder</w:t>
      </w:r>
      <w:r w:rsidR="00542D57">
        <w:t>stand</w:t>
      </w:r>
      <w:r>
        <w:t>ing of</w:t>
      </w:r>
      <w:r w:rsidR="00542D57">
        <w:t xml:space="preserve"> </w:t>
      </w:r>
      <w:r w:rsidR="00783CEA">
        <w:t xml:space="preserve">the </w:t>
      </w:r>
      <w:r w:rsidR="00542D57">
        <w:t>risk contingency status</w:t>
      </w:r>
      <w:r w:rsidR="000C557D">
        <w:t xml:space="preserve"> (i.e. has some of it been used</w:t>
      </w:r>
      <w:r w:rsidR="004D2848">
        <w:t xml:space="preserve"> or not</w:t>
      </w:r>
      <w:r w:rsidR="000C557D">
        <w:t>).</w:t>
      </w:r>
    </w:p>
    <w:p w:rsidR="007E0DCE" w:rsidRDefault="00C63CDF" w:rsidP="00A6695F">
      <w:pPr>
        <w:pStyle w:val="Standardsubbullet"/>
      </w:pPr>
      <w:r>
        <w:t>Better u</w:t>
      </w:r>
      <w:r w:rsidR="000C557D">
        <w:t>nderstand</w:t>
      </w:r>
      <w:r w:rsidR="00FB1E20">
        <w:t>ing</w:t>
      </w:r>
      <w:r w:rsidR="000C557D">
        <w:t xml:space="preserve"> </w:t>
      </w:r>
      <w:r>
        <w:t xml:space="preserve">of the impact of </w:t>
      </w:r>
      <w:r w:rsidR="000C557D">
        <w:t xml:space="preserve">project scope changes </w:t>
      </w:r>
      <w:r>
        <w:t>on costs</w:t>
      </w:r>
      <w:r w:rsidR="00881532">
        <w:t>,</w:t>
      </w:r>
      <w:r>
        <w:t xml:space="preserve"> programme</w:t>
      </w:r>
      <w:r w:rsidR="00881532">
        <w:t>, and delivery of the project’s outcomes or benefits</w:t>
      </w:r>
      <w:r>
        <w:t>.</w:t>
      </w:r>
    </w:p>
    <w:p w:rsidR="007E0DCE" w:rsidRDefault="00542D57" w:rsidP="00A6695F">
      <w:pPr>
        <w:pStyle w:val="Standardbullet"/>
      </w:pPr>
      <w:r>
        <w:lastRenderedPageBreak/>
        <w:t>Evaluation</w:t>
      </w:r>
    </w:p>
    <w:p w:rsidR="007E0DCE" w:rsidRDefault="00C63CDF" w:rsidP="00A6695F">
      <w:pPr>
        <w:pStyle w:val="Standardsubbullet"/>
      </w:pPr>
      <w:r>
        <w:t>Demonstrates that the project was worthwhile by, for example, achieving its investment objectives, realising its expected benefits, and carefully managing its associated risks.</w:t>
      </w:r>
    </w:p>
    <w:p w:rsidR="007E0DCE" w:rsidRDefault="001103F0" w:rsidP="00A6695F">
      <w:pPr>
        <w:pStyle w:val="Standardsubbullet"/>
      </w:pPr>
      <w:r>
        <w:t>Promote</w:t>
      </w:r>
      <w:r w:rsidR="00783CEA">
        <w:t>s</w:t>
      </w:r>
      <w:r>
        <w:t xml:space="preserve"> organisational learning to improve current and future performance.</w:t>
      </w:r>
    </w:p>
    <w:p w:rsidR="007E0DCE" w:rsidRDefault="001103F0" w:rsidP="00A6695F">
      <w:pPr>
        <w:pStyle w:val="Standardsubbullet"/>
      </w:pPr>
      <w:r>
        <w:t>Avoid</w:t>
      </w:r>
      <w:r w:rsidR="00783CEA">
        <w:t>s</w:t>
      </w:r>
      <w:r>
        <w:t xml:space="preserve"> repeating costly mistakes.</w:t>
      </w:r>
    </w:p>
    <w:p w:rsidR="007E0DCE" w:rsidRDefault="001103F0" w:rsidP="00A6695F">
      <w:pPr>
        <w:pStyle w:val="Standardsubbullet"/>
      </w:pPr>
      <w:r>
        <w:t>Improve</w:t>
      </w:r>
      <w:r w:rsidR="00783CEA">
        <w:t>s</w:t>
      </w:r>
      <w:r>
        <w:t xml:space="preserve"> decision-making and resource allocation (e.g. by adopting more effective project management arrangements)</w:t>
      </w:r>
    </w:p>
    <w:p w:rsidR="007E0DCE" w:rsidRDefault="001103F0" w:rsidP="00A6695F">
      <w:pPr>
        <w:pStyle w:val="Standardsubbullet"/>
      </w:pPr>
      <w:r>
        <w:t>Recognis</w:t>
      </w:r>
      <w:r w:rsidR="00783CEA">
        <w:t>es</w:t>
      </w:r>
      <w:r>
        <w:t xml:space="preserve"> </w:t>
      </w:r>
      <w:r w:rsidR="00D84989">
        <w:t xml:space="preserve">how </w:t>
      </w:r>
      <w:r>
        <w:t xml:space="preserve">the impact of good design </w:t>
      </w:r>
      <w:r w:rsidR="00D84989">
        <w:t xml:space="preserve">can improve stakeholder satisfaction, service performance, and the efficiency and effectiveness of </w:t>
      </w:r>
      <w:r>
        <w:t>the NHS Board’s operations.</w:t>
      </w:r>
    </w:p>
    <w:p w:rsidR="0051521D" w:rsidRDefault="0051521D"/>
    <w:p w:rsidR="00E841E8" w:rsidRDefault="00E841E8" w:rsidP="00E841E8">
      <w:pPr>
        <w:pStyle w:val="Heading2"/>
      </w:pPr>
      <w:r>
        <w:t>Policy Requirements</w:t>
      </w:r>
    </w:p>
    <w:p w:rsidR="00E841E8" w:rsidRDefault="00E841E8" w:rsidP="00E841E8">
      <w:pPr>
        <w:pStyle w:val="Standardparagraph"/>
      </w:pPr>
      <w:r>
        <w:t xml:space="preserve">NHS Boards are mandated by this guidance to monitor, evaluate and learn from all their capital and major investment projects valued above </w:t>
      </w:r>
      <w:r w:rsidR="0051521D">
        <w:t xml:space="preserve">their delegated limit, but </w:t>
      </w:r>
      <w:r>
        <w:t xml:space="preserve">it is also recommended as best </w:t>
      </w:r>
      <w:r w:rsidR="0051521D">
        <w:t>practice for all other projects</w:t>
      </w:r>
      <w:r>
        <w:t>.</w:t>
      </w:r>
    </w:p>
    <w:p w:rsidR="00E841E8" w:rsidRDefault="00E841E8" w:rsidP="00E841E8">
      <w:pPr>
        <w:pStyle w:val="Standardparagraph"/>
      </w:pPr>
      <w:r>
        <w:t>For projects under £5m, monitoring and evaluation should be carried out and reported through NHS Boards’ internal governance arrangements.  For projects in excess of £5m, individual reports should be submitted to Scottish Government by the agreed timescales outlined within the project’s Full Business Case.</w:t>
      </w:r>
    </w:p>
    <w:p w:rsidR="0051521D" w:rsidRPr="008500DE" w:rsidRDefault="008500DE" w:rsidP="00E841E8">
      <w:pPr>
        <w:pStyle w:val="Standardparagraph"/>
        <w:rPr>
          <w:color w:val="000000" w:themeColor="text1"/>
        </w:rPr>
      </w:pPr>
      <w:r w:rsidRPr="008500DE">
        <w:rPr>
          <w:color w:val="000000" w:themeColor="text1"/>
        </w:rPr>
        <w:t>A</w:t>
      </w:r>
      <w:r w:rsidR="0051521D" w:rsidRPr="008500DE">
        <w:rPr>
          <w:color w:val="000000" w:themeColor="text1"/>
        </w:rPr>
        <w:t xml:space="preserve"> summary report of the main findings and lessons learnt in respect of all such projects should be submitted </w:t>
      </w:r>
      <w:r w:rsidRPr="008500DE">
        <w:rPr>
          <w:color w:val="000000" w:themeColor="text1"/>
        </w:rPr>
        <w:t>to Scottish Government by 30</w:t>
      </w:r>
      <w:r w:rsidRPr="008500DE">
        <w:rPr>
          <w:color w:val="000000" w:themeColor="text1"/>
          <w:vertAlign w:val="superscript"/>
        </w:rPr>
        <w:t>th</w:t>
      </w:r>
      <w:r w:rsidRPr="008500DE">
        <w:rPr>
          <w:color w:val="000000" w:themeColor="text1"/>
        </w:rPr>
        <w:t xml:space="preserve"> June annually.  </w:t>
      </w:r>
      <w:r w:rsidR="0051521D" w:rsidRPr="008500DE">
        <w:rPr>
          <w:color w:val="000000" w:themeColor="text1"/>
        </w:rPr>
        <w:t xml:space="preserve">Scottish Government is committed to sharing these lessons learnt across </w:t>
      </w:r>
      <w:proofErr w:type="spellStart"/>
      <w:r w:rsidR="0051521D" w:rsidRPr="008500DE">
        <w:rPr>
          <w:color w:val="000000" w:themeColor="text1"/>
        </w:rPr>
        <w:t>NHSScotland</w:t>
      </w:r>
      <w:proofErr w:type="spellEnd"/>
      <w:r w:rsidR="0051521D" w:rsidRPr="008500DE">
        <w:rPr>
          <w:color w:val="000000" w:themeColor="text1"/>
        </w:rPr>
        <w:t>.</w:t>
      </w:r>
    </w:p>
    <w:p w:rsidR="00E841E8" w:rsidRDefault="00E841E8" w:rsidP="00E841E8">
      <w:pPr>
        <w:pStyle w:val="Standardparagraph"/>
      </w:pPr>
      <w:r>
        <w:t xml:space="preserve">Business cases for capital and major investment projects will not be approved unless both project monitoring and evaluation have been properly planned in advance. </w:t>
      </w:r>
    </w:p>
    <w:p w:rsidR="00E841E8" w:rsidRDefault="00E841E8">
      <w:pPr>
        <w:rPr>
          <w:rFonts w:ascii="Arial" w:eastAsiaTheme="majorEastAsia" w:hAnsi="Arial" w:cstheme="majorBidi"/>
          <w:b/>
          <w:bCs/>
          <w:color w:val="000000" w:themeColor="text1"/>
          <w:sz w:val="28"/>
          <w:szCs w:val="28"/>
        </w:rPr>
      </w:pPr>
      <w:r>
        <w:br w:type="page"/>
      </w:r>
    </w:p>
    <w:p w:rsidR="00532C63" w:rsidRDefault="00D84989" w:rsidP="00532C63">
      <w:pPr>
        <w:pStyle w:val="Heading1"/>
      </w:pPr>
      <w:r>
        <w:lastRenderedPageBreak/>
        <w:t xml:space="preserve">Project Monitoring and </w:t>
      </w:r>
      <w:r w:rsidR="00E841E8">
        <w:t>Service Benefits</w:t>
      </w:r>
      <w:r w:rsidR="002375F0">
        <w:t xml:space="preserve"> </w:t>
      </w:r>
      <w:r>
        <w:t>Evaluation</w:t>
      </w:r>
    </w:p>
    <w:p w:rsidR="00943B8E" w:rsidRPr="007A5ADA" w:rsidRDefault="00E841E8" w:rsidP="00943B8E">
      <w:pPr>
        <w:pStyle w:val="Standardparagraph"/>
      </w:pPr>
      <w:r>
        <w:t>The following four</w:t>
      </w:r>
      <w:r w:rsidR="006C4F7E">
        <w:t xml:space="preserve"> stage</w:t>
      </w:r>
      <w:r>
        <w:t>s set out the process requirements for</w:t>
      </w:r>
      <w:r w:rsidR="006C4F7E">
        <w:t xml:space="preserve"> successful </w:t>
      </w:r>
      <w:r w:rsidR="00BF10C7">
        <w:t xml:space="preserve">project </w:t>
      </w:r>
      <w:r w:rsidR="006C4F7E">
        <w:t xml:space="preserve">monitoring and </w:t>
      </w:r>
      <w:r>
        <w:t>service benefits evaluation:</w:t>
      </w:r>
      <w:r w:rsidR="006C4F7E">
        <w:t xml:space="preserve"> </w:t>
      </w:r>
      <w:r w:rsidR="00D84989">
        <w:t xml:space="preserve"> </w:t>
      </w:r>
    </w:p>
    <w:p w:rsidR="00F73226" w:rsidRPr="00F73226" w:rsidRDefault="00F73226" w:rsidP="00F73226">
      <w:pPr>
        <w:widowControl w:val="0"/>
        <w:tabs>
          <w:tab w:val="left" w:pos="720"/>
          <w:tab w:val="left" w:pos="1440"/>
          <w:tab w:val="left" w:pos="2160"/>
          <w:tab w:val="left" w:pos="2880"/>
          <w:tab w:val="left" w:pos="4680"/>
          <w:tab w:val="left" w:pos="5400"/>
          <w:tab w:val="right" w:pos="8460"/>
          <w:tab w:val="right" w:pos="8820"/>
        </w:tabs>
        <w:adjustRightInd w:val="0"/>
        <w:spacing w:after="240" w:line="360" w:lineRule="auto"/>
        <w:ind w:right="204"/>
        <w:textAlignment w:val="baseline"/>
        <w:rPr>
          <w:rFonts w:ascii="Arial" w:eastAsia="Times New Roman" w:hAnsi="Arial" w:cs="Times New Roman"/>
          <w:iCs/>
          <w:sz w:val="24"/>
          <w:szCs w:val="20"/>
        </w:rPr>
      </w:pPr>
      <w:r w:rsidRPr="00F73226">
        <w:rPr>
          <w:rFonts w:ascii="Arial" w:eastAsia="Times New Roman" w:hAnsi="Arial" w:cs="Times New Roman"/>
          <w:iCs/>
          <w:noProof/>
          <w:sz w:val="24"/>
          <w:szCs w:val="20"/>
        </w:rPr>
        <w:drawing>
          <wp:inline distT="0" distB="0" distL="0" distR="0">
            <wp:extent cx="5486400" cy="3200400"/>
            <wp:effectExtent l="0" t="19050" r="0" b="1905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C3574" w:rsidRPr="00F73226" w:rsidRDefault="00F73226" w:rsidP="00943B8E">
      <w:pPr>
        <w:pStyle w:val="Standardparagraph"/>
      </w:pPr>
      <w:r w:rsidRPr="00F73226">
        <w:t>These four stages are described in more detail below:</w:t>
      </w:r>
    </w:p>
    <w:p w:rsidR="00943B8E" w:rsidRDefault="009D2291" w:rsidP="00943B8E">
      <w:pPr>
        <w:pStyle w:val="Heading2"/>
      </w:pPr>
      <w:r>
        <w:rPr>
          <w:rFonts w:eastAsia="Times New Roman"/>
        </w:rPr>
        <w:t>Plan</w:t>
      </w:r>
      <w:r w:rsidR="00BF10C7">
        <w:rPr>
          <w:rFonts w:eastAsia="Times New Roman"/>
        </w:rPr>
        <w:t>ning</w:t>
      </w:r>
      <w:r w:rsidR="00E841E8">
        <w:rPr>
          <w:rFonts w:eastAsia="Times New Roman"/>
        </w:rPr>
        <w:t xml:space="preserve"> – how will</w:t>
      </w:r>
      <w:r w:rsidR="009844E5">
        <w:rPr>
          <w:rFonts w:eastAsia="Times New Roman"/>
        </w:rPr>
        <w:t xml:space="preserve"> it be carried out?</w:t>
      </w:r>
      <w:r>
        <w:rPr>
          <w:rFonts w:eastAsia="Times New Roman"/>
        </w:rPr>
        <w:t xml:space="preserve"> </w:t>
      </w:r>
    </w:p>
    <w:p w:rsidR="00AD7A26" w:rsidRPr="0051521D" w:rsidRDefault="009D2291" w:rsidP="00AD7A26">
      <w:pPr>
        <w:pStyle w:val="Standardparagraph"/>
        <w:rPr>
          <w:rStyle w:val="Emphasis"/>
          <w:rFonts w:eastAsiaTheme="majorEastAsia"/>
          <w:i w:val="0"/>
          <w:iCs w:val="0"/>
          <w:color w:val="000000" w:themeColor="text1"/>
          <w:szCs w:val="22"/>
        </w:rPr>
      </w:pPr>
      <w:r w:rsidRPr="0051521D">
        <w:rPr>
          <w:color w:val="000000" w:themeColor="text1"/>
        </w:rPr>
        <w:t xml:space="preserve">The </w:t>
      </w:r>
      <w:r w:rsidR="00E841E8" w:rsidRPr="0051521D">
        <w:rPr>
          <w:color w:val="000000" w:themeColor="text1"/>
        </w:rPr>
        <w:t>p</w:t>
      </w:r>
      <w:r w:rsidR="00BF10C7" w:rsidRPr="0051521D">
        <w:rPr>
          <w:color w:val="000000" w:themeColor="text1"/>
        </w:rPr>
        <w:t>lanning</w:t>
      </w:r>
      <w:r w:rsidR="00E841E8" w:rsidRPr="0051521D">
        <w:rPr>
          <w:color w:val="000000" w:themeColor="text1"/>
        </w:rPr>
        <w:t xml:space="preserve"> </w:t>
      </w:r>
      <w:r w:rsidR="00BF10C7" w:rsidRPr="0051521D">
        <w:rPr>
          <w:color w:val="000000" w:themeColor="text1"/>
        </w:rPr>
        <w:t xml:space="preserve">stage </w:t>
      </w:r>
      <w:r w:rsidR="00B86072" w:rsidRPr="0051521D">
        <w:rPr>
          <w:color w:val="000000" w:themeColor="text1"/>
        </w:rPr>
        <w:t>will</w:t>
      </w:r>
      <w:r w:rsidRPr="0051521D">
        <w:rPr>
          <w:color w:val="000000" w:themeColor="text1"/>
        </w:rPr>
        <w:t xml:space="preserve"> </w:t>
      </w:r>
      <w:r w:rsidR="00E841E8" w:rsidRPr="0051521D">
        <w:rPr>
          <w:color w:val="000000" w:themeColor="text1"/>
        </w:rPr>
        <w:t>determine</w:t>
      </w:r>
      <w:r w:rsidR="00C63CDF" w:rsidRPr="0051521D">
        <w:rPr>
          <w:color w:val="000000" w:themeColor="text1"/>
        </w:rPr>
        <w:t xml:space="preserve"> the </w:t>
      </w:r>
      <w:r w:rsidRPr="0051521D">
        <w:rPr>
          <w:color w:val="000000" w:themeColor="text1"/>
        </w:rPr>
        <w:t xml:space="preserve">scope </w:t>
      </w:r>
      <w:r w:rsidR="00C63CDF" w:rsidRPr="0051521D">
        <w:rPr>
          <w:color w:val="000000" w:themeColor="text1"/>
        </w:rPr>
        <w:t>of</w:t>
      </w:r>
      <w:r w:rsidRPr="0051521D">
        <w:rPr>
          <w:color w:val="000000" w:themeColor="text1"/>
        </w:rPr>
        <w:t xml:space="preserve"> work </w:t>
      </w:r>
      <w:r w:rsidR="00C63CDF" w:rsidRPr="0051521D">
        <w:rPr>
          <w:color w:val="000000" w:themeColor="text1"/>
        </w:rPr>
        <w:t xml:space="preserve">and resources </w:t>
      </w:r>
      <w:r w:rsidRPr="0051521D">
        <w:rPr>
          <w:color w:val="000000" w:themeColor="text1"/>
        </w:rPr>
        <w:t xml:space="preserve">required to </w:t>
      </w:r>
      <w:r w:rsidR="009D508E" w:rsidRPr="0051521D">
        <w:rPr>
          <w:color w:val="000000" w:themeColor="text1"/>
        </w:rPr>
        <w:t>carry out Project Monitoring and then Service Benefits Evaluation for any project</w:t>
      </w:r>
      <w:r w:rsidR="009844E5" w:rsidRPr="0051521D">
        <w:rPr>
          <w:color w:val="000000" w:themeColor="text1"/>
        </w:rPr>
        <w:t xml:space="preserve">.  </w:t>
      </w:r>
      <w:r w:rsidR="00AD7A26" w:rsidRPr="0051521D">
        <w:rPr>
          <w:rStyle w:val="Emphasis"/>
          <w:rFonts w:eastAsiaTheme="majorEastAsia"/>
          <w:i w:val="0"/>
          <w:iCs w:val="0"/>
          <w:color w:val="000000" w:themeColor="text1"/>
        </w:rPr>
        <w:t>As with all SCIM guidance expectations - the size, level of risks</w:t>
      </w:r>
      <w:r w:rsidR="009D508E" w:rsidRPr="0051521D">
        <w:rPr>
          <w:rStyle w:val="Emphasis"/>
          <w:rFonts w:eastAsiaTheme="majorEastAsia"/>
          <w:i w:val="0"/>
          <w:iCs w:val="0"/>
          <w:color w:val="000000" w:themeColor="text1"/>
        </w:rPr>
        <w:t>,</w:t>
      </w:r>
      <w:r w:rsidR="00AD7A26" w:rsidRPr="0051521D">
        <w:rPr>
          <w:rStyle w:val="Emphasis"/>
          <w:rFonts w:eastAsiaTheme="majorEastAsia"/>
          <w:i w:val="0"/>
          <w:iCs w:val="0"/>
          <w:color w:val="000000" w:themeColor="text1"/>
        </w:rPr>
        <w:t xml:space="preserve"> and complexity of a project will determine the level of detail required.</w:t>
      </w:r>
    </w:p>
    <w:p w:rsidR="007E0DCE" w:rsidRPr="001569DF" w:rsidRDefault="007A152E" w:rsidP="00A6695F">
      <w:pPr>
        <w:pStyle w:val="Standardparagraph"/>
        <w:rPr>
          <w:color w:val="000000" w:themeColor="text1"/>
        </w:rPr>
      </w:pPr>
      <w:r w:rsidRPr="001569DF">
        <w:rPr>
          <w:color w:val="000000" w:themeColor="text1"/>
        </w:rPr>
        <w:t>At OBC stage</w:t>
      </w:r>
      <w:r w:rsidR="00BF10C7" w:rsidRPr="001569DF">
        <w:rPr>
          <w:color w:val="000000" w:themeColor="text1"/>
        </w:rPr>
        <w:t>,</w:t>
      </w:r>
      <w:r w:rsidR="009D2291" w:rsidRPr="001569DF">
        <w:rPr>
          <w:color w:val="000000" w:themeColor="text1"/>
        </w:rPr>
        <w:t xml:space="preserve"> an </w:t>
      </w:r>
      <w:r w:rsidR="00BF10C7" w:rsidRPr="001569DF">
        <w:rPr>
          <w:color w:val="000000" w:themeColor="text1"/>
        </w:rPr>
        <w:t>‘O</w:t>
      </w:r>
      <w:r w:rsidR="009D2291" w:rsidRPr="001569DF">
        <w:rPr>
          <w:color w:val="000000" w:themeColor="text1"/>
        </w:rPr>
        <w:t xml:space="preserve">utline </w:t>
      </w:r>
      <w:r w:rsidR="00BF10C7" w:rsidRPr="001569DF">
        <w:rPr>
          <w:color w:val="000000" w:themeColor="text1"/>
        </w:rPr>
        <w:t>P</w:t>
      </w:r>
      <w:r w:rsidR="009D2291" w:rsidRPr="001569DF">
        <w:rPr>
          <w:color w:val="000000" w:themeColor="text1"/>
        </w:rPr>
        <w:t>lan</w:t>
      </w:r>
      <w:r w:rsidR="00BF10C7" w:rsidRPr="001569DF">
        <w:rPr>
          <w:color w:val="000000" w:themeColor="text1"/>
        </w:rPr>
        <w:t>’ is needed</w:t>
      </w:r>
      <w:r w:rsidR="00586FC2" w:rsidRPr="001569DF">
        <w:rPr>
          <w:color w:val="000000" w:themeColor="text1"/>
        </w:rPr>
        <w:t>,</w:t>
      </w:r>
      <w:r w:rsidR="009D2291" w:rsidRPr="001569DF">
        <w:rPr>
          <w:color w:val="000000" w:themeColor="text1"/>
        </w:rPr>
        <w:t xml:space="preserve"> whereas at FBC stage a </w:t>
      </w:r>
      <w:r w:rsidR="00BF10C7" w:rsidRPr="001569DF">
        <w:rPr>
          <w:color w:val="000000" w:themeColor="text1"/>
        </w:rPr>
        <w:t xml:space="preserve">‘Full Plan’ </w:t>
      </w:r>
      <w:r w:rsidR="009D2291" w:rsidRPr="001569DF">
        <w:rPr>
          <w:color w:val="000000" w:themeColor="text1"/>
        </w:rPr>
        <w:t>is required.</w:t>
      </w:r>
      <w:r w:rsidR="0079389A" w:rsidRPr="001569DF">
        <w:rPr>
          <w:color w:val="000000" w:themeColor="text1"/>
        </w:rPr>
        <w:t xml:space="preserve">  For all projects, it needs to be recognised that individuals involved in setting out such plans may change by the time it is implemented, which is why it is crucial that good documentary evidence supporting such plans is maintained.</w:t>
      </w:r>
    </w:p>
    <w:p w:rsidR="0051521D" w:rsidRDefault="0051521D">
      <w:pPr>
        <w:rPr>
          <w:rFonts w:ascii="Arial" w:eastAsiaTheme="majorEastAsia" w:hAnsi="Arial" w:cstheme="majorBidi"/>
          <w:b/>
          <w:bCs/>
          <w:color w:val="000000" w:themeColor="text1"/>
          <w:sz w:val="24"/>
        </w:rPr>
      </w:pPr>
      <w:r>
        <w:br w:type="page"/>
      </w:r>
    </w:p>
    <w:p w:rsidR="007E0DCE" w:rsidRDefault="009D2291">
      <w:pPr>
        <w:pStyle w:val="Heading3"/>
        <w:jc w:val="both"/>
      </w:pPr>
      <w:r>
        <w:lastRenderedPageBreak/>
        <w:t xml:space="preserve">Outline </w:t>
      </w:r>
      <w:r w:rsidR="00A4720C">
        <w:t xml:space="preserve">Monitoring &amp; Evaluation Plan </w:t>
      </w:r>
      <w:r>
        <w:t>at OBC stage</w:t>
      </w:r>
    </w:p>
    <w:p w:rsidR="007E0DCE" w:rsidRDefault="00BF10C7" w:rsidP="00A6695F">
      <w:pPr>
        <w:pStyle w:val="Standardparagraph"/>
        <w:rPr>
          <w:rStyle w:val="Emphasis"/>
          <w:rFonts w:asciiTheme="minorHAnsi" w:eastAsiaTheme="majorEastAsia" w:hAnsiTheme="minorHAnsi" w:cstheme="minorBidi"/>
          <w:i w:val="0"/>
          <w:iCs w:val="0"/>
          <w:sz w:val="22"/>
          <w:szCs w:val="22"/>
        </w:rPr>
      </w:pPr>
      <w:r>
        <w:rPr>
          <w:rStyle w:val="Emphasis"/>
          <w:rFonts w:eastAsiaTheme="majorEastAsia"/>
          <w:i w:val="0"/>
          <w:iCs w:val="0"/>
        </w:rPr>
        <w:t>The Outline Plan, which will be incorporated into the Management Case a</w:t>
      </w:r>
      <w:r w:rsidR="007A152E" w:rsidRPr="007A152E">
        <w:rPr>
          <w:rStyle w:val="Emphasis"/>
          <w:rFonts w:eastAsiaTheme="majorEastAsia"/>
          <w:i w:val="0"/>
          <w:iCs w:val="0"/>
        </w:rPr>
        <w:t xml:space="preserve">t OBC stage, </w:t>
      </w:r>
      <w:r w:rsidR="00A4720C">
        <w:rPr>
          <w:rStyle w:val="Emphasis"/>
          <w:rFonts w:eastAsiaTheme="majorEastAsia"/>
          <w:i w:val="0"/>
          <w:iCs w:val="0"/>
        </w:rPr>
        <w:t>will</w:t>
      </w:r>
      <w:r w:rsidR="007A152E">
        <w:rPr>
          <w:rStyle w:val="Emphasis"/>
          <w:rFonts w:eastAsiaTheme="majorEastAsia"/>
          <w:i w:val="0"/>
          <w:iCs w:val="0"/>
        </w:rPr>
        <w:t xml:space="preserve"> set out</w:t>
      </w:r>
      <w:r w:rsidR="00C3436A">
        <w:rPr>
          <w:rStyle w:val="Emphasis"/>
          <w:rFonts w:eastAsiaTheme="majorEastAsia"/>
          <w:i w:val="0"/>
          <w:iCs w:val="0"/>
        </w:rPr>
        <w:t xml:space="preserve"> the following:</w:t>
      </w:r>
    </w:p>
    <w:p w:rsidR="00BF10C7" w:rsidRDefault="00BF10C7" w:rsidP="00A6695F">
      <w:pPr>
        <w:pStyle w:val="Standardbullet"/>
        <w:rPr>
          <w:rStyle w:val="Emphasis"/>
          <w:rFonts w:eastAsiaTheme="majorEastAsia"/>
          <w:i w:val="0"/>
          <w:iCs w:val="0"/>
          <w:szCs w:val="22"/>
        </w:rPr>
      </w:pPr>
      <w:r>
        <w:rPr>
          <w:rStyle w:val="Emphasis"/>
          <w:rFonts w:eastAsiaTheme="majorEastAsia"/>
          <w:i w:val="0"/>
          <w:iCs w:val="0"/>
          <w:szCs w:val="22"/>
        </w:rPr>
        <w:t xml:space="preserve">What </w:t>
      </w:r>
      <w:r w:rsidR="009D508E">
        <w:rPr>
          <w:rStyle w:val="Emphasis"/>
          <w:rFonts w:eastAsiaTheme="majorEastAsia"/>
          <w:i w:val="0"/>
          <w:iCs w:val="0"/>
          <w:szCs w:val="22"/>
        </w:rPr>
        <w:t xml:space="preserve">aspects of the project </w:t>
      </w:r>
      <w:r>
        <w:rPr>
          <w:rStyle w:val="Emphasis"/>
          <w:rFonts w:eastAsiaTheme="majorEastAsia"/>
          <w:i w:val="0"/>
          <w:iCs w:val="0"/>
          <w:szCs w:val="22"/>
        </w:rPr>
        <w:t xml:space="preserve">will be </w:t>
      </w:r>
      <w:r w:rsidR="009D508E">
        <w:rPr>
          <w:rStyle w:val="Emphasis"/>
          <w:rFonts w:eastAsiaTheme="majorEastAsia"/>
          <w:i w:val="0"/>
          <w:iCs w:val="0"/>
          <w:szCs w:val="22"/>
        </w:rPr>
        <w:t>monitored and evaluated?</w:t>
      </w:r>
    </w:p>
    <w:p w:rsidR="00BF10C7" w:rsidRDefault="00BF10C7" w:rsidP="00A6695F">
      <w:pPr>
        <w:pStyle w:val="Standardbullet"/>
        <w:rPr>
          <w:rStyle w:val="Emphasis"/>
          <w:rFonts w:eastAsiaTheme="majorEastAsia"/>
          <w:i w:val="0"/>
          <w:iCs w:val="0"/>
          <w:szCs w:val="22"/>
        </w:rPr>
      </w:pPr>
      <w:r>
        <w:rPr>
          <w:rStyle w:val="Emphasis"/>
          <w:rFonts w:eastAsiaTheme="majorEastAsia"/>
          <w:i w:val="0"/>
          <w:iCs w:val="0"/>
          <w:szCs w:val="22"/>
        </w:rPr>
        <w:t>When it will be carried out, including milestone dates and report submission dates.</w:t>
      </w:r>
    </w:p>
    <w:p w:rsidR="00BF10C7" w:rsidRPr="00BF10C7" w:rsidRDefault="00BF10C7" w:rsidP="00A6695F">
      <w:pPr>
        <w:pStyle w:val="Standardbullet"/>
        <w:rPr>
          <w:rStyle w:val="Emphasis"/>
          <w:rFonts w:eastAsiaTheme="majorEastAsia"/>
          <w:i w:val="0"/>
          <w:iCs w:val="0"/>
          <w:szCs w:val="22"/>
        </w:rPr>
      </w:pPr>
      <w:r>
        <w:rPr>
          <w:rStyle w:val="Emphasis"/>
          <w:rFonts w:eastAsiaTheme="majorEastAsia"/>
          <w:i w:val="0"/>
          <w:iCs w:val="0"/>
          <w:szCs w:val="22"/>
        </w:rPr>
        <w:t xml:space="preserve">How it will be done.  </w:t>
      </w:r>
      <w:r w:rsidRPr="00A6695F">
        <w:rPr>
          <w:rStyle w:val="Emphasis"/>
          <w:rFonts w:eastAsiaTheme="majorEastAsia"/>
          <w:i w:val="0"/>
          <w:iCs w:val="0"/>
        </w:rPr>
        <w:t xml:space="preserve">This might include </w:t>
      </w:r>
      <w:r w:rsidR="00B86072">
        <w:rPr>
          <w:rStyle w:val="Emphasis"/>
          <w:rFonts w:eastAsiaTheme="majorEastAsia"/>
          <w:i w:val="0"/>
          <w:iCs w:val="0"/>
        </w:rPr>
        <w:t xml:space="preserve">proposals for a </w:t>
      </w:r>
      <w:r w:rsidR="007A5158">
        <w:rPr>
          <w:rStyle w:val="Emphasis"/>
          <w:rFonts w:eastAsiaTheme="majorEastAsia"/>
          <w:i w:val="0"/>
          <w:iCs w:val="0"/>
        </w:rPr>
        <w:t xml:space="preserve">comparative review </w:t>
      </w:r>
      <w:r w:rsidR="007A5158" w:rsidRPr="00A6695F">
        <w:rPr>
          <w:rStyle w:val="Emphasis"/>
          <w:rFonts w:eastAsiaTheme="majorEastAsia"/>
          <w:i w:val="0"/>
          <w:iCs w:val="0"/>
        </w:rPr>
        <w:t xml:space="preserve">of </w:t>
      </w:r>
      <w:r w:rsidR="00B86072">
        <w:rPr>
          <w:rStyle w:val="Emphasis"/>
          <w:rFonts w:eastAsiaTheme="majorEastAsia"/>
          <w:i w:val="0"/>
          <w:iCs w:val="0"/>
        </w:rPr>
        <w:t xml:space="preserve">the </w:t>
      </w:r>
      <w:r w:rsidR="007A5158">
        <w:rPr>
          <w:rStyle w:val="Emphasis"/>
          <w:rFonts w:eastAsiaTheme="majorEastAsia"/>
          <w:i w:val="0"/>
          <w:iCs w:val="0"/>
        </w:rPr>
        <w:t xml:space="preserve">benefits realisation plan, </w:t>
      </w:r>
      <w:r w:rsidR="00AD7A26">
        <w:rPr>
          <w:rStyle w:val="Emphasis"/>
          <w:rFonts w:eastAsiaTheme="majorEastAsia"/>
          <w:i w:val="0"/>
          <w:iCs w:val="0"/>
        </w:rPr>
        <w:t xml:space="preserve">an </w:t>
      </w:r>
      <w:r w:rsidR="007A5158">
        <w:rPr>
          <w:rStyle w:val="Emphasis"/>
          <w:rFonts w:eastAsiaTheme="majorEastAsia"/>
          <w:i w:val="0"/>
          <w:iCs w:val="0"/>
        </w:rPr>
        <w:t xml:space="preserve">overview of project risks, </w:t>
      </w:r>
      <w:r w:rsidR="007A5158" w:rsidRPr="00A6695F">
        <w:rPr>
          <w:rStyle w:val="Emphasis"/>
          <w:rFonts w:eastAsiaTheme="majorEastAsia"/>
          <w:i w:val="0"/>
          <w:iCs w:val="0"/>
        </w:rPr>
        <w:t xml:space="preserve">stakeholder questionnaires, focussed interviews, </w:t>
      </w:r>
      <w:r w:rsidRPr="00A6695F">
        <w:rPr>
          <w:rStyle w:val="Emphasis"/>
          <w:rFonts w:eastAsiaTheme="majorEastAsia"/>
          <w:i w:val="0"/>
          <w:iCs w:val="0"/>
        </w:rPr>
        <w:t>comparisons of estimated and actual costs</w:t>
      </w:r>
      <w:r>
        <w:rPr>
          <w:rStyle w:val="Emphasis"/>
          <w:rFonts w:eastAsiaTheme="majorEastAsia"/>
          <w:i w:val="0"/>
          <w:iCs w:val="0"/>
        </w:rPr>
        <w:t xml:space="preserve"> &amp; programme milestones</w:t>
      </w:r>
      <w:r w:rsidRPr="00A6695F">
        <w:rPr>
          <w:rStyle w:val="Emphasis"/>
          <w:rFonts w:eastAsiaTheme="majorEastAsia"/>
          <w:i w:val="0"/>
          <w:iCs w:val="0"/>
        </w:rPr>
        <w:t xml:space="preserve">, </w:t>
      </w:r>
      <w:r w:rsidR="007A5158">
        <w:rPr>
          <w:rStyle w:val="Emphasis"/>
          <w:rFonts w:eastAsiaTheme="majorEastAsia"/>
          <w:i w:val="0"/>
          <w:iCs w:val="0"/>
        </w:rPr>
        <w:t xml:space="preserve">analysis of </w:t>
      </w:r>
      <w:r w:rsidRPr="00A6695F">
        <w:rPr>
          <w:rStyle w:val="Emphasis"/>
          <w:rFonts w:eastAsiaTheme="majorEastAsia"/>
          <w:i w:val="0"/>
          <w:iCs w:val="0"/>
        </w:rPr>
        <w:t>performance indicators, confirmation of performance standards reached, findings from professional reports</w:t>
      </w:r>
      <w:r>
        <w:rPr>
          <w:rStyle w:val="Emphasis"/>
          <w:rFonts w:eastAsiaTheme="majorEastAsia"/>
          <w:i w:val="0"/>
          <w:iCs w:val="0"/>
        </w:rPr>
        <w:t xml:space="preserve">, </w:t>
      </w:r>
      <w:r w:rsidR="007A5158">
        <w:rPr>
          <w:rStyle w:val="Emphasis"/>
          <w:rFonts w:eastAsiaTheme="majorEastAsia"/>
          <w:i w:val="0"/>
          <w:iCs w:val="0"/>
        </w:rPr>
        <w:t xml:space="preserve">formal design assessments, </w:t>
      </w:r>
      <w:r w:rsidR="00AD7A26">
        <w:rPr>
          <w:rStyle w:val="Emphasis"/>
          <w:rFonts w:eastAsiaTheme="majorEastAsia"/>
          <w:i w:val="0"/>
          <w:iCs w:val="0"/>
        </w:rPr>
        <w:t>etc.</w:t>
      </w:r>
    </w:p>
    <w:p w:rsidR="001569DF" w:rsidRDefault="001569DF" w:rsidP="00A6695F">
      <w:pPr>
        <w:pStyle w:val="Standardparagraph"/>
        <w:rPr>
          <w:rStyle w:val="Emphasis"/>
          <w:rFonts w:eastAsiaTheme="majorEastAsia"/>
          <w:i w:val="0"/>
          <w:iCs w:val="0"/>
        </w:rPr>
      </w:pPr>
      <w:r>
        <w:rPr>
          <w:rStyle w:val="Emphasis"/>
          <w:rFonts w:eastAsiaTheme="majorEastAsia"/>
          <w:i w:val="0"/>
          <w:iCs w:val="0"/>
        </w:rPr>
        <w:t xml:space="preserve">Narrative on the above points is required at OBC stage, which can then be supported with a summary table outlining the key points - an example of which is provided in Appendix </w:t>
      </w:r>
      <w:proofErr w:type="gramStart"/>
      <w:r>
        <w:rPr>
          <w:rStyle w:val="Emphasis"/>
          <w:rFonts w:eastAsiaTheme="majorEastAsia"/>
          <w:i w:val="0"/>
          <w:iCs w:val="0"/>
        </w:rPr>
        <w:t>A</w:t>
      </w:r>
      <w:proofErr w:type="gramEnd"/>
      <w:r>
        <w:rPr>
          <w:rStyle w:val="Emphasis"/>
          <w:rFonts w:eastAsiaTheme="majorEastAsia"/>
          <w:i w:val="0"/>
          <w:iCs w:val="0"/>
        </w:rPr>
        <w:t xml:space="preserve"> ‘Outline Monitoring and Evaluation Plan’.</w:t>
      </w:r>
    </w:p>
    <w:p w:rsidR="007E0DCE" w:rsidRPr="00A6695F" w:rsidRDefault="00514B88" w:rsidP="00A6695F">
      <w:pPr>
        <w:pStyle w:val="Standardparagraph"/>
        <w:rPr>
          <w:rStyle w:val="Emphasis"/>
          <w:rFonts w:eastAsiaTheme="majorEastAsia"/>
          <w:i w:val="0"/>
          <w:iCs w:val="0"/>
          <w:szCs w:val="22"/>
        </w:rPr>
      </w:pPr>
      <w:r w:rsidRPr="00A6695F">
        <w:rPr>
          <w:rStyle w:val="Emphasis"/>
          <w:rFonts w:eastAsiaTheme="majorEastAsia"/>
          <w:i w:val="0"/>
          <w:iCs w:val="0"/>
        </w:rPr>
        <w:t xml:space="preserve">In addition, a resource plan for carrying this out is </w:t>
      </w:r>
      <w:r w:rsidR="002309CE" w:rsidRPr="00A6695F">
        <w:rPr>
          <w:rStyle w:val="Emphasis"/>
          <w:rFonts w:eastAsiaTheme="majorEastAsia"/>
          <w:i w:val="0"/>
          <w:iCs w:val="0"/>
        </w:rPr>
        <w:t>needed</w:t>
      </w:r>
      <w:r w:rsidRPr="00A6695F">
        <w:rPr>
          <w:rStyle w:val="Emphasis"/>
          <w:rFonts w:eastAsiaTheme="majorEastAsia"/>
          <w:i w:val="0"/>
          <w:iCs w:val="0"/>
        </w:rPr>
        <w:t xml:space="preserve"> which covers the following information:</w:t>
      </w:r>
    </w:p>
    <w:p w:rsidR="007E0DCE" w:rsidRPr="00A6695F" w:rsidRDefault="00514B88" w:rsidP="00A6695F">
      <w:pPr>
        <w:pStyle w:val="Standardbullet"/>
      </w:pPr>
      <w:r w:rsidRPr="00A6695F">
        <w:t xml:space="preserve">The project lead and project team dedicated to this aspect of the project (size and scale of project will determine the level of detail); including an outline of their role and responsibilities, an indication of their competency for carrying out this role, and continuity plans in place in the event of changing circumstances. </w:t>
      </w:r>
    </w:p>
    <w:p w:rsidR="007E0DCE" w:rsidRPr="00A6695F" w:rsidRDefault="00514B88" w:rsidP="00A6695F">
      <w:pPr>
        <w:pStyle w:val="Standardbullet"/>
      </w:pPr>
      <w:r w:rsidRPr="00A6695F">
        <w:t>An outline</w:t>
      </w:r>
      <w:r w:rsidR="00AD7A26">
        <w:t xml:space="preserve"> of any additional financial or</w:t>
      </w:r>
      <w:r w:rsidRPr="00A6695F">
        <w:t xml:space="preserve"> human resources needed to carry out this part of the project and report on the outcomes.  Any recruitment plans needed to fill vacant roles should be provided.</w:t>
      </w:r>
    </w:p>
    <w:p w:rsidR="007A5158" w:rsidRDefault="007A5158">
      <w:pPr>
        <w:rPr>
          <w:rFonts w:ascii="Arial" w:eastAsiaTheme="majorEastAsia" w:hAnsi="Arial" w:cstheme="majorBidi"/>
          <w:b/>
          <w:bCs/>
          <w:color w:val="000000" w:themeColor="text1"/>
          <w:sz w:val="24"/>
        </w:rPr>
      </w:pPr>
      <w:r>
        <w:br w:type="page"/>
      </w:r>
    </w:p>
    <w:p w:rsidR="009D2291" w:rsidRDefault="009D2291" w:rsidP="009D2291">
      <w:pPr>
        <w:pStyle w:val="Heading3"/>
      </w:pPr>
      <w:r>
        <w:lastRenderedPageBreak/>
        <w:t xml:space="preserve">Full </w:t>
      </w:r>
      <w:r w:rsidR="00A4720C">
        <w:t xml:space="preserve">Monitoring &amp; Evaluation </w:t>
      </w:r>
      <w:r>
        <w:t>Plan at FBC stage</w:t>
      </w:r>
    </w:p>
    <w:p w:rsidR="007E0DCE" w:rsidRDefault="007A152E" w:rsidP="007A5158">
      <w:pPr>
        <w:pStyle w:val="Standardparagraph"/>
      </w:pPr>
      <w:r>
        <w:t xml:space="preserve">The </w:t>
      </w:r>
      <w:r w:rsidR="007A5158">
        <w:t xml:space="preserve">Full </w:t>
      </w:r>
      <w:r>
        <w:t xml:space="preserve">Plan submitted at FBC stage should confirm the </w:t>
      </w:r>
      <w:r w:rsidR="007A5158">
        <w:t xml:space="preserve">full </w:t>
      </w:r>
      <w:r>
        <w:t xml:space="preserve">details previously </w:t>
      </w:r>
      <w:r w:rsidR="007A5158">
        <w:t>outlined at OBC stag</w:t>
      </w:r>
      <w:r w:rsidR="00AD7A26">
        <w:t>e</w:t>
      </w:r>
      <w:r w:rsidR="0005107D">
        <w:t xml:space="preserve">, </w:t>
      </w:r>
      <w:r w:rsidR="00205745">
        <w:t>while</w:t>
      </w:r>
      <w:r w:rsidR="00962350">
        <w:t xml:space="preserve"> also expanding on the following information:</w:t>
      </w:r>
    </w:p>
    <w:p w:rsidR="00A54DBD" w:rsidRDefault="007A5158" w:rsidP="00A6695F">
      <w:pPr>
        <w:pStyle w:val="Standardbullet"/>
      </w:pPr>
      <w:r>
        <w:t>A</w:t>
      </w:r>
      <w:r w:rsidR="005456FB" w:rsidRPr="00A6695F">
        <w:t xml:space="preserve"> detailed programme </w:t>
      </w:r>
      <w:r>
        <w:t xml:space="preserve">setting </w:t>
      </w:r>
      <w:r w:rsidR="00A54DBD">
        <w:t>out when Project Monitoring events will take place.</w:t>
      </w:r>
    </w:p>
    <w:p w:rsidR="00A54DBD" w:rsidRDefault="00A54DBD" w:rsidP="00A6695F">
      <w:pPr>
        <w:pStyle w:val="Standardbullet"/>
      </w:pPr>
      <w:r>
        <w:t>A detailed progra</w:t>
      </w:r>
      <w:r w:rsidR="00205745">
        <w:t>mme setting out when key Service Benefits</w:t>
      </w:r>
      <w:r>
        <w:t xml:space="preserve"> Evaluation events will take place, covering information gathering, analysis and reporting stages for each element of the evaluation.</w:t>
      </w:r>
    </w:p>
    <w:p w:rsidR="007E0DCE" w:rsidRDefault="009615C7" w:rsidP="00A6695F">
      <w:pPr>
        <w:pStyle w:val="Standardbullet"/>
      </w:pPr>
      <w:r>
        <w:t xml:space="preserve">Identification of all stakeholders who will be involved in </w:t>
      </w:r>
      <w:r w:rsidR="00A54DBD">
        <w:t xml:space="preserve">both the monitoring and evaluation processes </w:t>
      </w:r>
      <w:r>
        <w:t xml:space="preserve">and their expected involvement.  </w:t>
      </w:r>
      <w:r w:rsidRPr="00A6695F">
        <w:t>Depending</w:t>
      </w:r>
      <w:r>
        <w:t xml:space="preserve"> on the type and size of project</w:t>
      </w:r>
      <w:r w:rsidR="002309CE">
        <w:t>,</w:t>
      </w:r>
      <w:r>
        <w:t xml:space="preserve"> this may include the following:</w:t>
      </w:r>
    </w:p>
    <w:p w:rsidR="00205745" w:rsidRDefault="00205745" w:rsidP="009615C7">
      <w:pPr>
        <w:pStyle w:val="Standardsubbullet"/>
      </w:pPr>
      <w:r>
        <w:t>Board management staff.</w:t>
      </w:r>
    </w:p>
    <w:p w:rsidR="009615C7" w:rsidRDefault="009615C7" w:rsidP="009615C7">
      <w:pPr>
        <w:pStyle w:val="Standardsubbullet"/>
      </w:pPr>
      <w:r>
        <w:t>Clinicians.</w:t>
      </w:r>
    </w:p>
    <w:p w:rsidR="009615C7" w:rsidRDefault="009615C7" w:rsidP="009615C7">
      <w:pPr>
        <w:pStyle w:val="Standardsubbullet"/>
      </w:pPr>
      <w:r>
        <w:t>Nursing staff.</w:t>
      </w:r>
    </w:p>
    <w:p w:rsidR="009615C7" w:rsidRDefault="00205745" w:rsidP="009615C7">
      <w:pPr>
        <w:pStyle w:val="Standardsubbullet"/>
      </w:pPr>
      <w:r>
        <w:t>Healthcare p</w:t>
      </w:r>
      <w:r w:rsidR="009615C7">
        <w:t>lanners.</w:t>
      </w:r>
    </w:p>
    <w:p w:rsidR="009615C7" w:rsidRDefault="009615C7" w:rsidP="009615C7">
      <w:pPr>
        <w:pStyle w:val="Standardsubbullet"/>
      </w:pPr>
      <w:r>
        <w:t>Patients.</w:t>
      </w:r>
    </w:p>
    <w:p w:rsidR="002309CE" w:rsidRDefault="002309CE" w:rsidP="002309CE">
      <w:pPr>
        <w:pStyle w:val="Standardsubbullet"/>
      </w:pPr>
      <w:r>
        <w:t>General public</w:t>
      </w:r>
    </w:p>
    <w:p w:rsidR="009615C7" w:rsidRDefault="009615C7" w:rsidP="009615C7">
      <w:pPr>
        <w:pStyle w:val="Standardsubbullet"/>
      </w:pPr>
      <w:r>
        <w:t>Scottish Government staff.</w:t>
      </w:r>
    </w:p>
    <w:p w:rsidR="009615C7" w:rsidRDefault="009615C7" w:rsidP="009615C7">
      <w:pPr>
        <w:pStyle w:val="Standardsubbullet"/>
      </w:pPr>
      <w:r>
        <w:t>Estates professionals.</w:t>
      </w:r>
    </w:p>
    <w:p w:rsidR="009615C7" w:rsidRDefault="009615C7" w:rsidP="009615C7">
      <w:pPr>
        <w:pStyle w:val="Standardsubbullet"/>
      </w:pPr>
      <w:r>
        <w:t>Accountants and financial specialists.</w:t>
      </w:r>
    </w:p>
    <w:p w:rsidR="009615C7" w:rsidRDefault="009615C7" w:rsidP="009615C7">
      <w:pPr>
        <w:pStyle w:val="Standardsubbullet"/>
      </w:pPr>
      <w:r>
        <w:t>IM&amp;T professionals.</w:t>
      </w:r>
    </w:p>
    <w:p w:rsidR="007E0DCE" w:rsidRDefault="009615C7" w:rsidP="00A6695F">
      <w:pPr>
        <w:pStyle w:val="Standardbullet"/>
      </w:pPr>
      <w:r>
        <w:t xml:space="preserve">A communication plan </w:t>
      </w:r>
      <w:r w:rsidR="00A54DBD">
        <w:t xml:space="preserve">which </w:t>
      </w:r>
      <w:r>
        <w:t>explains how</w:t>
      </w:r>
      <w:r w:rsidR="00DB1C7E">
        <w:t xml:space="preserve"> and</w:t>
      </w:r>
      <w:r>
        <w:t xml:space="preserve"> when stakeholders will be </w:t>
      </w:r>
      <w:r w:rsidR="00A54DBD">
        <w:t>kept informed of their agreed input to these processes</w:t>
      </w:r>
      <w:r w:rsidR="00962350">
        <w:t xml:space="preserve">. </w:t>
      </w:r>
    </w:p>
    <w:p w:rsidR="007E0DCE" w:rsidRDefault="009615C7" w:rsidP="00A6695F">
      <w:pPr>
        <w:pStyle w:val="Standardbullet"/>
      </w:pPr>
      <w:r>
        <w:t>Confirmation of a</w:t>
      </w:r>
      <w:r w:rsidR="0005107D">
        <w:t xml:space="preserve">ny additional </w:t>
      </w:r>
      <w:r w:rsidR="00962350">
        <w:t xml:space="preserve">financial or human </w:t>
      </w:r>
      <w:r w:rsidR="0005107D">
        <w:t>resources required</w:t>
      </w:r>
      <w:r w:rsidR="0026456D">
        <w:t xml:space="preserve"> to carry out </w:t>
      </w:r>
      <w:r w:rsidR="00A54DBD">
        <w:t>either of the monitoring or evaluation processes</w:t>
      </w:r>
      <w:r w:rsidR="0005107D">
        <w:t xml:space="preserve"> (including the need </w:t>
      </w:r>
      <w:r w:rsidR="00A54DBD">
        <w:t xml:space="preserve">to prepare </w:t>
      </w:r>
      <w:r w:rsidR="0005107D">
        <w:t>written reports and dissemination activities).</w:t>
      </w:r>
    </w:p>
    <w:p w:rsidR="007E0DCE" w:rsidRDefault="007E0DCE">
      <w:pPr>
        <w:rPr>
          <w:rFonts w:ascii="Arial" w:eastAsiaTheme="majorEastAsia" w:hAnsi="Arial" w:cstheme="majorBidi"/>
          <w:b/>
          <w:bCs/>
          <w:color w:val="000000" w:themeColor="text1"/>
          <w:sz w:val="28"/>
          <w:szCs w:val="26"/>
        </w:rPr>
      </w:pPr>
      <w:r>
        <w:br w:type="page"/>
      </w:r>
    </w:p>
    <w:p w:rsidR="003B3058" w:rsidRDefault="002309CE" w:rsidP="009D2291">
      <w:pPr>
        <w:pStyle w:val="Heading2"/>
      </w:pPr>
      <w:r>
        <w:lastRenderedPageBreak/>
        <w:t xml:space="preserve">Project </w:t>
      </w:r>
      <w:r w:rsidR="00C62732">
        <w:t>Monitor</w:t>
      </w:r>
      <w:r w:rsidR="0031281A">
        <w:t>ing</w:t>
      </w:r>
      <w:r w:rsidR="0026456D">
        <w:t xml:space="preserve"> – how well is the project progressing?</w:t>
      </w:r>
    </w:p>
    <w:p w:rsidR="0031281A" w:rsidRPr="0005424B" w:rsidRDefault="0005424B" w:rsidP="0005424B">
      <w:pPr>
        <w:pStyle w:val="Standardparagraph"/>
      </w:pPr>
      <w:r>
        <w:t xml:space="preserve">Project Monitoring covers the assessment of the technical aspects of a project as </w:t>
      </w:r>
      <w:r w:rsidR="00003968">
        <w:t>it</w:t>
      </w:r>
      <w:r w:rsidR="00A54DBD">
        <w:t xml:space="preserve"> proceed</w:t>
      </w:r>
      <w:r w:rsidR="00003968">
        <w:t>s</w:t>
      </w:r>
      <w:r w:rsidR="00A54DBD">
        <w:t xml:space="preserve"> through </w:t>
      </w:r>
      <w:r w:rsidR="00003968">
        <w:t>its</w:t>
      </w:r>
      <w:r w:rsidR="00A54DBD">
        <w:t xml:space="preserve"> planning, implementation and final completion </w:t>
      </w:r>
      <w:r w:rsidR="00003968">
        <w:t xml:space="preserve">phases.  </w:t>
      </w:r>
      <w:r>
        <w:t xml:space="preserve">The </w:t>
      </w:r>
      <w:r w:rsidR="00003968">
        <w:t xml:space="preserve">main </w:t>
      </w:r>
      <w:r>
        <w:t xml:space="preserve">elements to be covered </w:t>
      </w:r>
      <w:r w:rsidR="00003968">
        <w:t>are</w:t>
      </w:r>
      <w:r>
        <w:t>:</w:t>
      </w:r>
    </w:p>
    <w:p w:rsidR="001A3489" w:rsidRDefault="003957FF" w:rsidP="007E0DCE">
      <w:pPr>
        <w:pStyle w:val="Standardbullet"/>
      </w:pPr>
      <w:r>
        <w:t>Project</w:t>
      </w:r>
      <w:r w:rsidR="001A3489">
        <w:t xml:space="preserve"> cost</w:t>
      </w:r>
      <w:r w:rsidR="0005424B">
        <w:t>s</w:t>
      </w:r>
      <w:r w:rsidR="001A3489">
        <w:t xml:space="preserve"> </w:t>
      </w:r>
    </w:p>
    <w:p w:rsidR="001A3489" w:rsidRDefault="001A3489" w:rsidP="007E0DCE">
      <w:pPr>
        <w:pStyle w:val="Standardbullet"/>
      </w:pPr>
      <w:r>
        <w:t>Project p</w:t>
      </w:r>
      <w:r w:rsidR="002309CE">
        <w:t>rogramme</w:t>
      </w:r>
    </w:p>
    <w:p w:rsidR="001A3489" w:rsidRDefault="001A3489" w:rsidP="007E0DCE">
      <w:pPr>
        <w:pStyle w:val="Standardbullet"/>
      </w:pPr>
      <w:r>
        <w:t>H</w:t>
      </w:r>
      <w:r w:rsidR="005C1FBA">
        <w:t xml:space="preserve">ealth &amp; safety </w:t>
      </w:r>
      <w:r>
        <w:t>performance</w:t>
      </w:r>
    </w:p>
    <w:p w:rsidR="001A3489" w:rsidRDefault="001A3489" w:rsidP="007E0DCE">
      <w:pPr>
        <w:pStyle w:val="Standardbullet"/>
      </w:pPr>
      <w:r>
        <w:t>Project scope changes</w:t>
      </w:r>
    </w:p>
    <w:p w:rsidR="001A3489" w:rsidRDefault="001A3489" w:rsidP="007E0DCE">
      <w:pPr>
        <w:pStyle w:val="Standardbullet"/>
      </w:pPr>
      <w:r>
        <w:t xml:space="preserve">Design </w:t>
      </w:r>
      <w:r w:rsidR="00853272">
        <w:t xml:space="preserve">and </w:t>
      </w:r>
      <w:r>
        <w:t>technical aspects</w:t>
      </w:r>
    </w:p>
    <w:p w:rsidR="001A3489" w:rsidRDefault="001A3489" w:rsidP="007E0DCE">
      <w:pPr>
        <w:pStyle w:val="Standardbullet"/>
      </w:pPr>
      <w:r>
        <w:t>Risk management issues</w:t>
      </w:r>
    </w:p>
    <w:p w:rsidR="00205745" w:rsidRPr="0079389A" w:rsidRDefault="00205745" w:rsidP="001A3489">
      <w:pPr>
        <w:pStyle w:val="Standardparagraph"/>
        <w:rPr>
          <w:color w:val="000000" w:themeColor="text1"/>
        </w:rPr>
      </w:pPr>
      <w:r w:rsidRPr="0079389A">
        <w:rPr>
          <w:color w:val="000000" w:themeColor="text1"/>
        </w:rPr>
        <w:t xml:space="preserve">It should also include any other technical element of the project </w:t>
      </w:r>
      <w:r w:rsidR="00B9114D" w:rsidRPr="0079389A">
        <w:rPr>
          <w:color w:val="000000" w:themeColor="text1"/>
        </w:rPr>
        <w:t xml:space="preserve">that </w:t>
      </w:r>
      <w:r w:rsidR="00E473E6" w:rsidRPr="0079389A">
        <w:rPr>
          <w:color w:val="000000" w:themeColor="text1"/>
        </w:rPr>
        <w:t>would be</w:t>
      </w:r>
      <w:r w:rsidR="00A4720C" w:rsidRPr="0079389A">
        <w:rPr>
          <w:color w:val="000000" w:themeColor="text1"/>
        </w:rPr>
        <w:t xml:space="preserve">nefit from being </w:t>
      </w:r>
      <w:r w:rsidR="00E473E6" w:rsidRPr="0079389A">
        <w:rPr>
          <w:color w:val="000000" w:themeColor="text1"/>
        </w:rPr>
        <w:t>monito</w:t>
      </w:r>
      <w:r w:rsidR="00A4720C" w:rsidRPr="0079389A">
        <w:rPr>
          <w:color w:val="000000" w:themeColor="text1"/>
        </w:rPr>
        <w:t>red</w:t>
      </w:r>
      <w:r w:rsidR="00E473E6" w:rsidRPr="0079389A">
        <w:rPr>
          <w:color w:val="000000" w:themeColor="text1"/>
        </w:rPr>
        <w:t xml:space="preserve"> as the project progresses</w:t>
      </w:r>
      <w:r w:rsidRPr="0079389A">
        <w:rPr>
          <w:color w:val="000000" w:themeColor="text1"/>
        </w:rPr>
        <w:t>.</w:t>
      </w:r>
    </w:p>
    <w:p w:rsidR="00003968" w:rsidRDefault="00003968" w:rsidP="001A3489">
      <w:pPr>
        <w:pStyle w:val="Standardparagraph"/>
      </w:pPr>
      <w:r>
        <w:t xml:space="preserve">For projects </w:t>
      </w:r>
      <w:r w:rsidR="00205745">
        <w:t xml:space="preserve">within a </w:t>
      </w:r>
      <w:r w:rsidR="0079389A">
        <w:t>NHS Board’s delegated authority</w:t>
      </w:r>
      <w:r w:rsidR="00205745">
        <w:t xml:space="preserve"> </w:t>
      </w:r>
      <w:r>
        <w:t xml:space="preserve">the scope and detail of </w:t>
      </w:r>
      <w:r w:rsidR="0079389A">
        <w:t xml:space="preserve">Project Monitoring </w:t>
      </w:r>
      <w:r>
        <w:t xml:space="preserve">can be determined by the </w:t>
      </w:r>
      <w:r w:rsidR="00E473E6">
        <w:t>scale and complexity of the project.</w:t>
      </w:r>
    </w:p>
    <w:p w:rsidR="00543AE7" w:rsidRDefault="00205745" w:rsidP="001A3489">
      <w:pPr>
        <w:pStyle w:val="Standardparagraph"/>
      </w:pPr>
      <w:r>
        <w:t>It should be noted that</w:t>
      </w:r>
      <w:r w:rsidR="00051FF8">
        <w:t xml:space="preserve"> </w:t>
      </w:r>
      <w:r w:rsidR="0005424B">
        <w:t>P</w:t>
      </w:r>
      <w:r w:rsidR="00051FF8">
        <w:t xml:space="preserve">roject </w:t>
      </w:r>
      <w:r w:rsidR="0005424B">
        <w:t>M</w:t>
      </w:r>
      <w:r w:rsidR="00051FF8">
        <w:t>onitoring is</w:t>
      </w:r>
      <w:r w:rsidR="0005424B">
        <w:t xml:space="preserve"> </w:t>
      </w:r>
      <w:r>
        <w:t xml:space="preserve">deemed </w:t>
      </w:r>
      <w:r w:rsidR="0005424B">
        <w:t>a</w:t>
      </w:r>
      <w:r w:rsidR="00051FF8">
        <w:t xml:space="preserve"> separate </w:t>
      </w:r>
      <w:r w:rsidR="00543AE7">
        <w:t xml:space="preserve">exercise to Gateway </w:t>
      </w:r>
      <w:r w:rsidR="00003968">
        <w:t xml:space="preserve">and Key Stage </w:t>
      </w:r>
      <w:r w:rsidR="00543AE7">
        <w:t>Reviews;</w:t>
      </w:r>
      <w:r w:rsidR="00051FF8">
        <w:t xml:space="preserve"> however, </w:t>
      </w:r>
      <w:r w:rsidR="00543AE7">
        <w:t>the information gathered through appropriate m</w:t>
      </w:r>
      <w:r w:rsidR="00DC1244">
        <w:t>onitoring can be used to support</w:t>
      </w:r>
      <w:r w:rsidR="00543AE7">
        <w:t xml:space="preserve"> these reviews.</w:t>
      </w:r>
    </w:p>
    <w:p w:rsidR="007E0DCE" w:rsidRDefault="00543AE7" w:rsidP="001A3489">
      <w:pPr>
        <w:pStyle w:val="Standardparagraph"/>
      </w:pPr>
      <w:r>
        <w:t>The following sections provide further information on what should</w:t>
      </w:r>
      <w:r w:rsidR="00205745">
        <w:t xml:space="preserve"> be included within the</w:t>
      </w:r>
      <w:r>
        <w:t xml:space="preserve"> Project Monitoring</w:t>
      </w:r>
      <w:r w:rsidR="00205745">
        <w:t xml:space="preserve"> stage</w:t>
      </w:r>
      <w:r>
        <w:t>:</w:t>
      </w:r>
    </w:p>
    <w:p w:rsidR="007E0DCE" w:rsidRPr="0079389A" w:rsidRDefault="00436BA3" w:rsidP="00543AE7">
      <w:pPr>
        <w:pStyle w:val="Heading3"/>
      </w:pPr>
      <w:r w:rsidRPr="0079389A">
        <w:t>Project</w:t>
      </w:r>
      <w:r w:rsidR="001A3489" w:rsidRPr="0079389A">
        <w:t xml:space="preserve"> Cost</w:t>
      </w:r>
      <w:r w:rsidR="0005424B" w:rsidRPr="0079389A">
        <w:t>s</w:t>
      </w:r>
    </w:p>
    <w:p w:rsidR="00FE5251" w:rsidRPr="0079389A" w:rsidRDefault="00FE5251" w:rsidP="00FE5251">
      <w:pPr>
        <w:pStyle w:val="Standardparagraph"/>
        <w:rPr>
          <w:color w:val="000000" w:themeColor="text1"/>
        </w:rPr>
      </w:pPr>
      <w:r w:rsidRPr="0079389A">
        <w:rPr>
          <w:color w:val="000000" w:themeColor="text1"/>
        </w:rPr>
        <w:t xml:space="preserve">Monitoring of </w:t>
      </w:r>
      <w:r w:rsidR="00436BA3" w:rsidRPr="0079389A">
        <w:rPr>
          <w:color w:val="000000" w:themeColor="text1"/>
        </w:rPr>
        <w:t>project</w:t>
      </w:r>
      <w:r w:rsidRPr="0079389A">
        <w:rPr>
          <w:color w:val="000000" w:themeColor="text1"/>
        </w:rPr>
        <w:t xml:space="preserve"> costs</w:t>
      </w:r>
      <w:r w:rsidR="00436BA3" w:rsidRPr="0079389A">
        <w:rPr>
          <w:color w:val="000000" w:themeColor="text1"/>
        </w:rPr>
        <w:t xml:space="preserve"> (c</w:t>
      </w:r>
      <w:r w:rsidR="00236FAA" w:rsidRPr="0079389A">
        <w:rPr>
          <w:color w:val="000000" w:themeColor="text1"/>
        </w:rPr>
        <w:t xml:space="preserve">apital, </w:t>
      </w:r>
      <w:r w:rsidR="003957FF" w:rsidRPr="0079389A">
        <w:rPr>
          <w:color w:val="000000" w:themeColor="text1"/>
        </w:rPr>
        <w:t xml:space="preserve">equivalent </w:t>
      </w:r>
      <w:r w:rsidR="00236FAA" w:rsidRPr="0079389A">
        <w:rPr>
          <w:color w:val="000000" w:themeColor="text1"/>
        </w:rPr>
        <w:t>capital investment</w:t>
      </w:r>
      <w:r w:rsidR="00436BA3" w:rsidRPr="0079389A">
        <w:rPr>
          <w:color w:val="000000" w:themeColor="text1"/>
        </w:rPr>
        <w:t>, and operational revenue costs)</w:t>
      </w:r>
      <w:r w:rsidRPr="0079389A">
        <w:rPr>
          <w:color w:val="000000" w:themeColor="text1"/>
        </w:rPr>
        <w:t xml:space="preserve"> provides continuous assurance that appropriate cost control measures are in place and that actual costs are contained within the project budget.</w:t>
      </w:r>
    </w:p>
    <w:p w:rsidR="00436BA3" w:rsidRPr="0079389A" w:rsidRDefault="00070FA1" w:rsidP="00543AE7">
      <w:pPr>
        <w:pStyle w:val="Standardparagraph"/>
        <w:rPr>
          <w:color w:val="000000" w:themeColor="text1"/>
        </w:rPr>
      </w:pPr>
      <w:r w:rsidRPr="0079389A">
        <w:rPr>
          <w:color w:val="000000" w:themeColor="text1"/>
        </w:rPr>
        <w:t xml:space="preserve">At Full Business Case stage, a summary is needed of how </w:t>
      </w:r>
      <w:r w:rsidR="00B31F84" w:rsidRPr="0079389A">
        <w:rPr>
          <w:color w:val="000000" w:themeColor="text1"/>
        </w:rPr>
        <w:t xml:space="preserve">all </w:t>
      </w:r>
      <w:r w:rsidRPr="0079389A">
        <w:rPr>
          <w:color w:val="000000" w:themeColor="text1"/>
        </w:rPr>
        <w:t xml:space="preserve">costs have developed from Initial Agreement stage through to OBC and then FBC.  </w:t>
      </w:r>
      <w:r w:rsidR="00436BA3" w:rsidRPr="0079389A">
        <w:rPr>
          <w:color w:val="000000" w:themeColor="text1"/>
        </w:rPr>
        <w:t>E</w:t>
      </w:r>
      <w:r w:rsidRPr="0079389A">
        <w:rPr>
          <w:color w:val="000000" w:themeColor="text1"/>
        </w:rPr>
        <w:t>xample Project Cost Monitoring Form</w:t>
      </w:r>
      <w:r w:rsidR="00436BA3" w:rsidRPr="0079389A">
        <w:rPr>
          <w:color w:val="000000" w:themeColor="text1"/>
        </w:rPr>
        <w:t>s</w:t>
      </w:r>
      <w:r w:rsidRPr="0079389A">
        <w:rPr>
          <w:color w:val="000000" w:themeColor="text1"/>
        </w:rPr>
        <w:t xml:space="preserve"> </w:t>
      </w:r>
      <w:r w:rsidR="00436BA3" w:rsidRPr="0079389A">
        <w:rPr>
          <w:color w:val="000000" w:themeColor="text1"/>
        </w:rPr>
        <w:t>are</w:t>
      </w:r>
      <w:r w:rsidRPr="0079389A">
        <w:rPr>
          <w:color w:val="000000" w:themeColor="text1"/>
        </w:rPr>
        <w:t xml:space="preserve"> provided in Appendix B </w:t>
      </w:r>
      <w:r w:rsidR="00D829D9" w:rsidRPr="0079389A">
        <w:rPr>
          <w:color w:val="000000" w:themeColor="text1"/>
        </w:rPr>
        <w:t xml:space="preserve">for both capital and </w:t>
      </w:r>
      <w:r w:rsidR="00D829D9" w:rsidRPr="0079389A">
        <w:rPr>
          <w:color w:val="000000" w:themeColor="text1"/>
        </w:rPr>
        <w:lastRenderedPageBreak/>
        <w:t>revenue cost reporting.</w:t>
      </w:r>
      <w:r w:rsidRPr="0079389A">
        <w:rPr>
          <w:color w:val="000000" w:themeColor="text1"/>
        </w:rPr>
        <w:t xml:space="preserve">  </w:t>
      </w:r>
      <w:r w:rsidR="00436BA3" w:rsidRPr="0079389A">
        <w:rPr>
          <w:color w:val="000000" w:themeColor="text1"/>
        </w:rPr>
        <w:t xml:space="preserve">A Construction Cost Plan is also required at </w:t>
      </w:r>
      <w:r w:rsidR="00DC1244">
        <w:rPr>
          <w:color w:val="000000" w:themeColor="text1"/>
        </w:rPr>
        <w:t xml:space="preserve">OBC and FBC </w:t>
      </w:r>
      <w:proofErr w:type="gramStart"/>
      <w:r w:rsidR="00436BA3" w:rsidRPr="0079389A">
        <w:rPr>
          <w:color w:val="000000" w:themeColor="text1"/>
        </w:rPr>
        <w:t>stage</w:t>
      </w:r>
      <w:r w:rsidR="00DC1244">
        <w:rPr>
          <w:color w:val="000000" w:themeColor="text1"/>
        </w:rPr>
        <w:t>s</w:t>
      </w:r>
      <w:r w:rsidR="00436BA3" w:rsidRPr="0079389A">
        <w:rPr>
          <w:color w:val="000000" w:themeColor="text1"/>
        </w:rPr>
        <w:t xml:space="preserve"> which provides</w:t>
      </w:r>
      <w:proofErr w:type="gramEnd"/>
      <w:r w:rsidR="00436BA3" w:rsidRPr="0079389A">
        <w:rPr>
          <w:color w:val="000000" w:themeColor="text1"/>
        </w:rPr>
        <w:t xml:space="preserve"> a more detailed breakdown of the proposed Construction Costs.  An example cost plan template is provided in Appendix B, which is in line with the Building Cost Information Service (BCIS) cost plan standards.  </w:t>
      </w:r>
    </w:p>
    <w:p w:rsidR="00436BA3" w:rsidRPr="0079389A" w:rsidRDefault="00070FA1" w:rsidP="00543AE7">
      <w:pPr>
        <w:pStyle w:val="Standardparagraph"/>
        <w:rPr>
          <w:color w:val="000000" w:themeColor="text1"/>
        </w:rPr>
      </w:pPr>
      <w:r w:rsidRPr="0079389A">
        <w:rPr>
          <w:color w:val="000000" w:themeColor="text1"/>
        </w:rPr>
        <w:t xml:space="preserve">At </w:t>
      </w:r>
      <w:r w:rsidR="00436BA3" w:rsidRPr="0079389A">
        <w:rPr>
          <w:color w:val="000000" w:themeColor="text1"/>
        </w:rPr>
        <w:t xml:space="preserve">the end of the </w:t>
      </w:r>
      <w:r w:rsidRPr="0079389A">
        <w:rPr>
          <w:color w:val="000000" w:themeColor="text1"/>
        </w:rPr>
        <w:t xml:space="preserve">project </w:t>
      </w:r>
      <w:r w:rsidR="00436BA3" w:rsidRPr="0079389A">
        <w:rPr>
          <w:color w:val="000000" w:themeColor="text1"/>
        </w:rPr>
        <w:t xml:space="preserve">implementation </w:t>
      </w:r>
      <w:r w:rsidRPr="0079389A">
        <w:rPr>
          <w:color w:val="000000" w:themeColor="text1"/>
        </w:rPr>
        <w:t>stage</w:t>
      </w:r>
      <w:r w:rsidR="00436BA3" w:rsidRPr="0079389A">
        <w:rPr>
          <w:color w:val="000000" w:themeColor="text1"/>
        </w:rPr>
        <w:t xml:space="preserve"> (e.g. end of construction)</w:t>
      </w:r>
      <w:r w:rsidRPr="0079389A">
        <w:rPr>
          <w:color w:val="000000" w:themeColor="text1"/>
        </w:rPr>
        <w:t xml:space="preserve">, a further comparison </w:t>
      </w:r>
      <w:r w:rsidR="00436BA3" w:rsidRPr="0079389A">
        <w:rPr>
          <w:color w:val="000000" w:themeColor="text1"/>
        </w:rPr>
        <w:t xml:space="preserve">of construction costs </w:t>
      </w:r>
      <w:r w:rsidR="00D829D9" w:rsidRPr="0079389A">
        <w:rPr>
          <w:color w:val="000000" w:themeColor="text1"/>
        </w:rPr>
        <w:t xml:space="preserve">is </w:t>
      </w:r>
      <w:r w:rsidRPr="0079389A">
        <w:rPr>
          <w:color w:val="000000" w:themeColor="text1"/>
        </w:rPr>
        <w:t xml:space="preserve">required between </w:t>
      </w:r>
      <w:r w:rsidR="00436BA3" w:rsidRPr="0079389A">
        <w:rPr>
          <w:color w:val="000000" w:themeColor="text1"/>
        </w:rPr>
        <w:t>those reported at FBC and a</w:t>
      </w:r>
      <w:r w:rsidRPr="0079389A">
        <w:rPr>
          <w:color w:val="000000" w:themeColor="text1"/>
        </w:rPr>
        <w:t xml:space="preserve">ctual </w:t>
      </w:r>
      <w:r w:rsidR="00436BA3" w:rsidRPr="0079389A">
        <w:rPr>
          <w:color w:val="000000" w:themeColor="text1"/>
        </w:rPr>
        <w:t xml:space="preserve">outturn </w:t>
      </w:r>
      <w:r w:rsidRPr="0079389A">
        <w:rPr>
          <w:color w:val="000000" w:themeColor="text1"/>
        </w:rPr>
        <w:t>costs.</w:t>
      </w:r>
      <w:r w:rsidR="00C2107C" w:rsidRPr="0079389A">
        <w:rPr>
          <w:color w:val="000000" w:themeColor="text1"/>
        </w:rPr>
        <w:t xml:space="preserve">  </w:t>
      </w:r>
      <w:r w:rsidR="00236FAA" w:rsidRPr="0079389A">
        <w:rPr>
          <w:color w:val="000000" w:themeColor="text1"/>
        </w:rPr>
        <w:t xml:space="preserve">This will utilise, as necessary, the information contained within the Construction Cost Plan to provide a detailed breakdown of any evident cost changes. </w:t>
      </w:r>
    </w:p>
    <w:p w:rsidR="00D829D9" w:rsidRPr="0079389A" w:rsidRDefault="00D829D9" w:rsidP="00543AE7">
      <w:pPr>
        <w:pStyle w:val="Standardparagraph"/>
        <w:rPr>
          <w:color w:val="000000" w:themeColor="text1"/>
        </w:rPr>
      </w:pPr>
      <w:r w:rsidRPr="0079389A">
        <w:rPr>
          <w:color w:val="000000" w:themeColor="text1"/>
        </w:rPr>
        <w:t xml:space="preserve">The programme for assessing actual operational revenue costs may need to wait until </w:t>
      </w:r>
      <w:r w:rsidR="00B31F84" w:rsidRPr="0079389A">
        <w:rPr>
          <w:color w:val="000000" w:themeColor="text1"/>
        </w:rPr>
        <w:t xml:space="preserve">a reasonable period after occupation for them to become typical, recurring costs.  </w:t>
      </w:r>
      <w:r w:rsidRPr="0079389A">
        <w:rPr>
          <w:color w:val="000000" w:themeColor="text1"/>
        </w:rPr>
        <w:t xml:space="preserve">The final review of these outturn </w:t>
      </w:r>
      <w:r w:rsidR="0079389A" w:rsidRPr="0079389A">
        <w:rPr>
          <w:color w:val="000000" w:themeColor="text1"/>
        </w:rPr>
        <w:t xml:space="preserve">revenue </w:t>
      </w:r>
      <w:r w:rsidRPr="0079389A">
        <w:rPr>
          <w:color w:val="000000" w:themeColor="text1"/>
        </w:rPr>
        <w:t>costs is therefore more likely to align with the Service Benefits Evaluation programme.</w:t>
      </w:r>
    </w:p>
    <w:p w:rsidR="001A3489" w:rsidRPr="001A3489" w:rsidRDefault="001A3489" w:rsidP="00FE5251">
      <w:pPr>
        <w:pStyle w:val="Heading3"/>
      </w:pPr>
      <w:r>
        <w:t>Project Programme</w:t>
      </w:r>
    </w:p>
    <w:p w:rsidR="005D7962" w:rsidRDefault="00FE5251" w:rsidP="00FE5251">
      <w:pPr>
        <w:pStyle w:val="Standardparagraph"/>
      </w:pPr>
      <w:r>
        <w:t xml:space="preserve">Monitoring of project milestones will </w:t>
      </w:r>
      <w:r w:rsidR="007B1072">
        <w:t>indicate w</w:t>
      </w:r>
      <w:r>
        <w:t xml:space="preserve">hether initial </w:t>
      </w:r>
      <w:r w:rsidR="007B1072">
        <w:t xml:space="preserve">programme estimates </w:t>
      </w:r>
      <w:r>
        <w:t xml:space="preserve">were overly optimistic or </w:t>
      </w:r>
      <w:r w:rsidR="005D7962">
        <w:t>not</w:t>
      </w:r>
      <w:r>
        <w:t>, and then provide assurance that critical milestones will be delivered on time</w:t>
      </w:r>
      <w:r w:rsidR="005D7962">
        <w:t xml:space="preserve"> or identify any slippages that have occurred.  The potential impact on any </w:t>
      </w:r>
      <w:r>
        <w:t xml:space="preserve">key interdependencies can </w:t>
      </w:r>
      <w:r w:rsidR="005D7962">
        <w:t>then be reported.</w:t>
      </w:r>
    </w:p>
    <w:p w:rsidR="00FE5251" w:rsidRDefault="00FE5251" w:rsidP="00FE5251">
      <w:pPr>
        <w:pStyle w:val="Standardparagraph"/>
      </w:pPr>
      <w:r>
        <w:t>At Full Business Case stage, a summary is needed of how a project’s key milestones have / have not altered over the planning and procurement stages between Initial Agreement and FBC.  An explanation will be needed of all significant time changes between each stage.  An example Programme Monitoring Form is provided in Appendix C.  At project completion stage, a further comparison wi</w:t>
      </w:r>
      <w:r w:rsidR="00C2107C">
        <w:t>ll be required between FBC and a</w:t>
      </w:r>
      <w:r>
        <w:t>ctual milestones.</w:t>
      </w:r>
    </w:p>
    <w:p w:rsidR="005D4AE5" w:rsidRPr="001A3489" w:rsidRDefault="005D4AE5" w:rsidP="005D4AE5">
      <w:pPr>
        <w:pStyle w:val="Heading3"/>
      </w:pPr>
      <w:r>
        <w:t xml:space="preserve">Project </w:t>
      </w:r>
      <w:r w:rsidRPr="001A3489">
        <w:t>Scope Change</w:t>
      </w:r>
      <w:r>
        <w:t>s</w:t>
      </w:r>
    </w:p>
    <w:p w:rsidR="005D4AE5" w:rsidRDefault="005D4AE5" w:rsidP="005D4AE5">
      <w:pPr>
        <w:pStyle w:val="Standardparagraph"/>
      </w:pPr>
      <w:r>
        <w:t xml:space="preserve">The most critical aspect of controlling project cost and time is to develop a clear, comprehensive and </w:t>
      </w:r>
      <w:r w:rsidRPr="007050E5">
        <w:t>detailed</w:t>
      </w:r>
      <w:r>
        <w:t xml:space="preserve"> specification and design that takes account of stakeholder service requirements.  To supplement this, a robust Change Control Plan must be developed and implemented, identifying the control points and </w:t>
      </w:r>
      <w:r>
        <w:lastRenderedPageBreak/>
        <w:t>thresholds (i.e. cost limits) supported by the management arrangements responsible for overseeing, controlling and approving any changes.</w:t>
      </w:r>
    </w:p>
    <w:p w:rsidR="005D4AE5" w:rsidRDefault="005D4AE5" w:rsidP="005D4AE5">
      <w:pPr>
        <w:pStyle w:val="Standardparagraph"/>
      </w:pPr>
      <w:r>
        <w:t xml:space="preserve">Any significant project scope change should be recorded; identifying at what stage of the project it occurred, </w:t>
      </w:r>
      <w:r w:rsidR="001569DF">
        <w:t xml:space="preserve">the reasons behind it, and </w:t>
      </w:r>
      <w:r>
        <w:t>what impact it has had</w:t>
      </w:r>
      <w:r w:rsidR="00A00C86">
        <w:t xml:space="preserve"> or </w:t>
      </w:r>
      <w:r w:rsidR="001569DF">
        <w:t xml:space="preserve">is </w:t>
      </w:r>
      <w:r w:rsidR="00A00C86">
        <w:t>likely to have</w:t>
      </w:r>
      <w:r w:rsidR="001569DF">
        <w:t xml:space="preserve"> on the project programme, </w:t>
      </w:r>
      <w:r>
        <w:t>costs</w:t>
      </w:r>
      <w:r w:rsidR="001569DF">
        <w:t>, and/or delivery of the project’s outcomes or benefits</w:t>
      </w:r>
      <w:r>
        <w:t>.</w:t>
      </w:r>
    </w:p>
    <w:p w:rsidR="001A3489" w:rsidRPr="001A3489" w:rsidRDefault="001A3489" w:rsidP="005D7962">
      <w:pPr>
        <w:pStyle w:val="Heading3"/>
      </w:pPr>
      <w:r w:rsidRPr="001A3489">
        <w:t>Health &amp;</w:t>
      </w:r>
      <w:r w:rsidR="00C2107C">
        <w:t xml:space="preserve"> </w:t>
      </w:r>
      <w:r w:rsidRPr="001A3489">
        <w:t>Safety</w:t>
      </w:r>
      <w:r>
        <w:t xml:space="preserve"> Performance</w:t>
      </w:r>
    </w:p>
    <w:p w:rsidR="001A3489" w:rsidRDefault="005D7962" w:rsidP="00A6695F">
      <w:pPr>
        <w:pStyle w:val="Standardparagraph"/>
      </w:pPr>
      <w:r>
        <w:t xml:space="preserve">Monitoring </w:t>
      </w:r>
      <w:r w:rsidR="005D4AE5">
        <w:t>and review of health &amp; s</w:t>
      </w:r>
      <w:r>
        <w:t xml:space="preserve">afety performance </w:t>
      </w:r>
      <w:r w:rsidR="00295574">
        <w:t xml:space="preserve">will </w:t>
      </w:r>
      <w:r w:rsidR="001A3489">
        <w:t xml:space="preserve">enable a full understanding of </w:t>
      </w:r>
      <w:r w:rsidR="00C2107C">
        <w:t>the a</w:t>
      </w:r>
      <w:r w:rsidR="001A3489">
        <w:t>dequa</w:t>
      </w:r>
      <w:r w:rsidR="00C2107C">
        <w:t xml:space="preserve">cy of </w:t>
      </w:r>
      <w:r w:rsidR="005D4AE5">
        <w:t>h</w:t>
      </w:r>
      <w:r w:rsidR="001A3489" w:rsidRPr="005D7962">
        <w:t>ealth</w:t>
      </w:r>
      <w:r w:rsidR="005D4AE5">
        <w:t xml:space="preserve"> and s</w:t>
      </w:r>
      <w:r w:rsidR="001A3489">
        <w:t xml:space="preserve">afety practices </w:t>
      </w:r>
      <w:r w:rsidR="00C2107C">
        <w:t xml:space="preserve">during the </w:t>
      </w:r>
      <w:r w:rsidR="001A3489">
        <w:t xml:space="preserve">construction </w:t>
      </w:r>
      <w:r w:rsidR="00C2107C">
        <w:t xml:space="preserve">and commissioning </w:t>
      </w:r>
      <w:r w:rsidR="001A3489">
        <w:t>of the project</w:t>
      </w:r>
      <w:r w:rsidR="005D4AE5">
        <w:t>, as well as identify any lessons to be learnt on all future NHS investment projects</w:t>
      </w:r>
      <w:r w:rsidR="001A3489">
        <w:t xml:space="preserve">. </w:t>
      </w:r>
      <w:r w:rsidR="007B1072">
        <w:t xml:space="preserve"> </w:t>
      </w:r>
      <w:r w:rsidR="001A3489">
        <w:t>For example</w:t>
      </w:r>
      <w:r w:rsidR="00C2107C">
        <w:t>,</w:t>
      </w:r>
      <w:r w:rsidR="001A3489">
        <w:t xml:space="preserve"> information on</w:t>
      </w:r>
      <w:r w:rsidR="005D4AE5">
        <w:t xml:space="preserve"> the following should be regularly reported and assessed</w:t>
      </w:r>
      <w:r w:rsidR="001A3489">
        <w:t>:</w:t>
      </w:r>
    </w:p>
    <w:p w:rsidR="001A3489" w:rsidRDefault="007050E5" w:rsidP="00295574">
      <w:pPr>
        <w:pStyle w:val="Standardbullet"/>
      </w:pPr>
      <w:r>
        <w:t>Number of accidents occurring</w:t>
      </w:r>
      <w:r w:rsidR="001A3489">
        <w:t>.</w:t>
      </w:r>
    </w:p>
    <w:p w:rsidR="001A3489" w:rsidRDefault="001A3489" w:rsidP="00295574">
      <w:pPr>
        <w:pStyle w:val="Standardbullet"/>
      </w:pPr>
      <w:r>
        <w:t>Number and percentage of those accidents coming under RIDDOR.</w:t>
      </w:r>
    </w:p>
    <w:p w:rsidR="001A3489" w:rsidRDefault="001A3489" w:rsidP="00295574">
      <w:pPr>
        <w:pStyle w:val="Standardbullet"/>
      </w:pPr>
      <w:r>
        <w:t xml:space="preserve">Number and percentage of those accidents occurring due to </w:t>
      </w:r>
    </w:p>
    <w:p w:rsidR="001A3489" w:rsidRDefault="001A3489" w:rsidP="00295574">
      <w:pPr>
        <w:pStyle w:val="Standardsubbullet"/>
      </w:pPr>
      <w:r>
        <w:t>Operative not using required P</w:t>
      </w:r>
      <w:r w:rsidR="00295574">
        <w:t xml:space="preserve">ersonal </w:t>
      </w:r>
      <w:r>
        <w:t>P</w:t>
      </w:r>
      <w:r w:rsidR="00295574">
        <w:t xml:space="preserve">rotective </w:t>
      </w:r>
      <w:r>
        <w:t>E</w:t>
      </w:r>
      <w:r w:rsidR="00295574">
        <w:t>quipment (PPE)</w:t>
      </w:r>
    </w:p>
    <w:p w:rsidR="001A3489" w:rsidRDefault="001A3489" w:rsidP="00295574">
      <w:pPr>
        <w:pStyle w:val="Standardsubbullet"/>
      </w:pPr>
      <w:r>
        <w:t>Ineffective PPE</w:t>
      </w:r>
    </w:p>
    <w:p w:rsidR="001A3489" w:rsidRDefault="001A3489" w:rsidP="00295574">
      <w:pPr>
        <w:pStyle w:val="Standardsubbullet"/>
      </w:pPr>
      <w:r>
        <w:t>Inadequate training of using PPE</w:t>
      </w:r>
    </w:p>
    <w:p w:rsidR="001A3489" w:rsidRDefault="001A3489" w:rsidP="007050E5">
      <w:pPr>
        <w:pStyle w:val="Standardbullet"/>
      </w:pPr>
      <w:r>
        <w:t>Number of days lost due to injuries.</w:t>
      </w:r>
    </w:p>
    <w:p w:rsidR="003B6826" w:rsidRDefault="001A3489" w:rsidP="007050E5">
      <w:pPr>
        <w:pStyle w:val="Standardbullet"/>
      </w:pPr>
      <w:r>
        <w:t>Number of trea</w:t>
      </w:r>
      <w:r w:rsidR="007050E5">
        <w:t>t</w:t>
      </w:r>
      <w:r>
        <w:t>ments carried out on site.</w:t>
      </w:r>
    </w:p>
    <w:p w:rsidR="001A3489" w:rsidRPr="0079389A" w:rsidRDefault="003B6826" w:rsidP="003B6826">
      <w:pPr>
        <w:pStyle w:val="Standardparagraph"/>
        <w:rPr>
          <w:color w:val="000000" w:themeColor="text1"/>
        </w:rPr>
      </w:pPr>
      <w:r w:rsidRPr="0079389A">
        <w:rPr>
          <w:color w:val="000000" w:themeColor="text1"/>
        </w:rPr>
        <w:t>When required for a project, the Construction Design Management (CDM) Co-ordinator will be an essential contributor to this part of Project Monitoring.</w:t>
      </w:r>
      <w:r w:rsidR="001A3489" w:rsidRPr="0079389A">
        <w:rPr>
          <w:color w:val="000000" w:themeColor="text1"/>
        </w:rPr>
        <w:t xml:space="preserve"> </w:t>
      </w:r>
    </w:p>
    <w:p w:rsidR="00EE4EB5" w:rsidRPr="0079389A" w:rsidRDefault="00EE4EB5" w:rsidP="007050E5">
      <w:pPr>
        <w:pStyle w:val="Heading3"/>
      </w:pPr>
      <w:r w:rsidRPr="0079389A">
        <w:t>Design</w:t>
      </w:r>
      <w:r w:rsidR="003B6826" w:rsidRPr="0079389A">
        <w:t>, Engineering</w:t>
      </w:r>
      <w:r w:rsidR="001A3489" w:rsidRPr="0079389A">
        <w:t xml:space="preserve"> </w:t>
      </w:r>
      <w:r w:rsidR="00FE3799" w:rsidRPr="0079389A">
        <w:t xml:space="preserve">&amp; </w:t>
      </w:r>
      <w:r w:rsidR="00110C09" w:rsidRPr="0079389A">
        <w:t>o</w:t>
      </w:r>
      <w:r w:rsidR="003B6826" w:rsidRPr="0079389A">
        <w:t xml:space="preserve">ther </w:t>
      </w:r>
      <w:r w:rsidR="001A3489" w:rsidRPr="0079389A">
        <w:t xml:space="preserve">Technical </w:t>
      </w:r>
      <w:r w:rsidR="00110C09" w:rsidRPr="0079389A">
        <w:t>items</w:t>
      </w:r>
    </w:p>
    <w:p w:rsidR="00DC1244" w:rsidRDefault="00C1502F" w:rsidP="00A6695F">
      <w:pPr>
        <w:pStyle w:val="Standardparagraph"/>
        <w:rPr>
          <w:color w:val="000000" w:themeColor="text1"/>
        </w:rPr>
      </w:pPr>
      <w:r w:rsidRPr="0079389A">
        <w:rPr>
          <w:color w:val="000000" w:themeColor="text1"/>
        </w:rPr>
        <w:t>Monitoring and inspection of the quality</w:t>
      </w:r>
      <w:r w:rsidR="00110C09" w:rsidRPr="0079389A">
        <w:rPr>
          <w:color w:val="000000" w:themeColor="text1"/>
        </w:rPr>
        <w:t>, accuracy and progress of any project is expected to form part of a good practice approach to construction project management.</w:t>
      </w:r>
      <w:r w:rsidR="0025715E" w:rsidRPr="0079389A">
        <w:rPr>
          <w:color w:val="000000" w:themeColor="text1"/>
        </w:rPr>
        <w:t xml:space="preserve">  </w:t>
      </w:r>
    </w:p>
    <w:p w:rsidR="00DC1244" w:rsidRDefault="00DC1244" w:rsidP="00A6695F">
      <w:pPr>
        <w:pStyle w:val="Standardparagraph"/>
        <w:rPr>
          <w:color w:val="000000" w:themeColor="text1"/>
        </w:rPr>
      </w:pPr>
      <w:r>
        <w:rPr>
          <w:color w:val="000000" w:themeColor="text1"/>
        </w:rPr>
        <w:t xml:space="preserve">Boards are to outline in their project monitoring report their proposal for monitoring construction quality.  </w:t>
      </w:r>
      <w:r w:rsidR="0025715E" w:rsidRPr="0079389A">
        <w:rPr>
          <w:color w:val="000000" w:themeColor="text1"/>
        </w:rPr>
        <w:t xml:space="preserve">This will be based on </w:t>
      </w:r>
      <w:r>
        <w:rPr>
          <w:color w:val="000000" w:themeColor="text1"/>
        </w:rPr>
        <w:t xml:space="preserve">meeting </w:t>
      </w:r>
      <w:r w:rsidR="0025715E" w:rsidRPr="0079389A">
        <w:rPr>
          <w:color w:val="000000" w:themeColor="text1"/>
        </w:rPr>
        <w:t xml:space="preserve">the agreed </w:t>
      </w:r>
      <w:r>
        <w:rPr>
          <w:color w:val="000000" w:themeColor="text1"/>
        </w:rPr>
        <w:t xml:space="preserve">construction, </w:t>
      </w:r>
      <w:r w:rsidR="0025715E" w:rsidRPr="0079389A">
        <w:rPr>
          <w:color w:val="000000" w:themeColor="text1"/>
        </w:rPr>
        <w:lastRenderedPageBreak/>
        <w:t>architectural design, engineering</w:t>
      </w:r>
      <w:r>
        <w:rPr>
          <w:color w:val="000000" w:themeColor="text1"/>
        </w:rPr>
        <w:t>,</w:t>
      </w:r>
      <w:r w:rsidR="0025715E" w:rsidRPr="0079389A">
        <w:rPr>
          <w:color w:val="000000" w:themeColor="text1"/>
        </w:rPr>
        <w:t xml:space="preserve"> and specification </w:t>
      </w:r>
      <w:r>
        <w:rPr>
          <w:color w:val="000000" w:themeColor="text1"/>
        </w:rPr>
        <w:t xml:space="preserve">requirements </w:t>
      </w:r>
      <w:r w:rsidR="0025715E" w:rsidRPr="0079389A">
        <w:rPr>
          <w:color w:val="000000" w:themeColor="text1"/>
        </w:rPr>
        <w:t>for that project</w:t>
      </w:r>
      <w:r>
        <w:rPr>
          <w:color w:val="000000" w:themeColor="text1"/>
        </w:rPr>
        <w:t>.</w:t>
      </w:r>
    </w:p>
    <w:p w:rsidR="00F1400B" w:rsidRPr="0079389A" w:rsidRDefault="0025715E" w:rsidP="0025715E">
      <w:pPr>
        <w:pStyle w:val="Standardparagraph"/>
        <w:rPr>
          <w:color w:val="000000" w:themeColor="text1"/>
        </w:rPr>
      </w:pPr>
      <w:r w:rsidRPr="0079389A">
        <w:rPr>
          <w:color w:val="000000" w:themeColor="text1"/>
        </w:rPr>
        <w:t xml:space="preserve">Upon completion, a project’s overall design and engineering impact will </w:t>
      </w:r>
      <w:r w:rsidR="00F1400B" w:rsidRPr="0079389A">
        <w:rPr>
          <w:color w:val="000000" w:themeColor="text1"/>
        </w:rPr>
        <w:t xml:space="preserve">also </w:t>
      </w:r>
      <w:r w:rsidRPr="0079389A">
        <w:rPr>
          <w:color w:val="000000" w:themeColor="text1"/>
        </w:rPr>
        <w:t xml:space="preserve">need to be assessed.  This will incorporate a review against </w:t>
      </w:r>
      <w:r w:rsidR="00F1400B" w:rsidRPr="0079389A">
        <w:rPr>
          <w:color w:val="000000" w:themeColor="text1"/>
        </w:rPr>
        <w:t xml:space="preserve">the project’s original design objectives to ask whether it meets or exceeds user expectations.  It shall also determine whether its engineering and other technical standards have met the requisite level / indicator / measure, and why.  Reference should be made to the NDAP design assessment process for further details of expectations at this stage. </w:t>
      </w:r>
    </w:p>
    <w:p w:rsidR="001A3489" w:rsidRPr="001A3489" w:rsidRDefault="001A3489" w:rsidP="007050E5">
      <w:pPr>
        <w:pStyle w:val="Heading3"/>
      </w:pPr>
      <w:r w:rsidRPr="001A3489">
        <w:t>Risk Management Issues</w:t>
      </w:r>
    </w:p>
    <w:p w:rsidR="004C5025" w:rsidRDefault="004C5025" w:rsidP="004C5025">
      <w:pPr>
        <w:pStyle w:val="Standardparagraph"/>
      </w:pPr>
      <w:r>
        <w:t xml:space="preserve">A review of the project’s risk register </w:t>
      </w:r>
      <w:r w:rsidR="00461EA9">
        <w:t xml:space="preserve">will be needed </w:t>
      </w:r>
      <w:r>
        <w:t>to identify the following:</w:t>
      </w:r>
    </w:p>
    <w:p w:rsidR="007E0DCE" w:rsidRDefault="004C5025">
      <w:pPr>
        <w:pStyle w:val="Standardbullet"/>
        <w:jc w:val="both"/>
      </w:pPr>
      <w:r>
        <w:t>Where particular client and contractor risks have been successfully managed through planned mitigation measures.</w:t>
      </w:r>
    </w:p>
    <w:p w:rsidR="007E0DCE" w:rsidRDefault="004C5025">
      <w:pPr>
        <w:pStyle w:val="Standardbullet"/>
        <w:jc w:val="both"/>
      </w:pPr>
      <w:r>
        <w:t>Instances where the risk share between client and contractor may have shifted during the contract.</w:t>
      </w:r>
    </w:p>
    <w:p w:rsidR="007E0DCE" w:rsidRDefault="004C5025">
      <w:pPr>
        <w:pStyle w:val="Standardbullet"/>
        <w:ind w:hanging="363"/>
        <w:jc w:val="both"/>
      </w:pPr>
      <w:r>
        <w:t>Any issues that arose due to an identified risk occurring; detailing the impact that the issue caused and the further actions needed to resolve the issue.</w:t>
      </w:r>
    </w:p>
    <w:p w:rsidR="007E0DCE" w:rsidRDefault="005D4AE5" w:rsidP="005D4AE5">
      <w:pPr>
        <w:pStyle w:val="Standardbullet"/>
      </w:pPr>
      <w:r>
        <w:t xml:space="preserve">Any issues that </w:t>
      </w:r>
      <w:r w:rsidR="004C5025">
        <w:t xml:space="preserve">weren’t </w:t>
      </w:r>
      <w:r w:rsidR="004C5025" w:rsidRPr="005D4AE5">
        <w:t>originally</w:t>
      </w:r>
      <w:r w:rsidR="004C5025">
        <w:t xml:space="preserve"> identified on the project risk register; detailing the impact </w:t>
      </w:r>
      <w:r w:rsidR="00923A7C">
        <w:t xml:space="preserve">this has </w:t>
      </w:r>
      <w:r w:rsidR="004C5025">
        <w:t>caused and the actions needed to resolve it.</w:t>
      </w:r>
    </w:p>
    <w:p w:rsidR="007E0DCE" w:rsidRDefault="002B4E8D" w:rsidP="007050E5">
      <w:pPr>
        <w:pStyle w:val="Standardparagraph"/>
      </w:pPr>
      <w:r>
        <w:t>Th</w:t>
      </w:r>
      <w:r w:rsidR="003E623C">
        <w:t xml:space="preserve">is review </w:t>
      </w:r>
      <w:r>
        <w:t xml:space="preserve">should </w:t>
      </w:r>
      <w:r w:rsidR="003E623C">
        <w:t xml:space="preserve">focus on </w:t>
      </w:r>
      <w:r>
        <w:t>the main points of interest</w:t>
      </w:r>
      <w:r w:rsidR="003E623C">
        <w:t>, rather than a</w:t>
      </w:r>
      <w:r w:rsidR="00D76D14">
        <w:t>n individual risk</w:t>
      </w:r>
      <w:r w:rsidR="003E623C">
        <w:t xml:space="preserve"> by risk summary</w:t>
      </w:r>
      <w:r w:rsidR="00D76D14">
        <w:t>.</w:t>
      </w:r>
      <w:r>
        <w:t xml:space="preserve"> </w:t>
      </w:r>
    </w:p>
    <w:p w:rsidR="0005424B" w:rsidRDefault="00B9114D" w:rsidP="0005424B">
      <w:pPr>
        <w:pStyle w:val="Heading3"/>
      </w:pPr>
      <w:r>
        <w:t>Project</w:t>
      </w:r>
      <w:r w:rsidR="0005424B">
        <w:t xml:space="preserve"> Monitoring Report</w:t>
      </w:r>
    </w:p>
    <w:p w:rsidR="00461EA9" w:rsidRPr="0079389A" w:rsidRDefault="00B9114D" w:rsidP="00A6695F">
      <w:pPr>
        <w:pStyle w:val="Standardparagraph"/>
        <w:rPr>
          <w:color w:val="000000" w:themeColor="text1"/>
        </w:rPr>
      </w:pPr>
      <w:r w:rsidRPr="0079389A">
        <w:rPr>
          <w:color w:val="000000" w:themeColor="text1"/>
        </w:rPr>
        <w:t>A Project</w:t>
      </w:r>
      <w:r w:rsidR="00932467" w:rsidRPr="0079389A">
        <w:rPr>
          <w:color w:val="000000" w:themeColor="text1"/>
        </w:rPr>
        <w:t xml:space="preserve"> Monitoring Report </w:t>
      </w:r>
      <w:r w:rsidR="00461EA9" w:rsidRPr="0079389A">
        <w:rPr>
          <w:color w:val="000000" w:themeColor="text1"/>
        </w:rPr>
        <w:t xml:space="preserve">will be required </w:t>
      </w:r>
      <w:r w:rsidR="00932467" w:rsidRPr="0079389A">
        <w:rPr>
          <w:color w:val="000000" w:themeColor="text1"/>
        </w:rPr>
        <w:t>within the Management Case of the Full Business Case</w:t>
      </w:r>
      <w:r w:rsidR="00461EA9" w:rsidRPr="0079389A">
        <w:rPr>
          <w:color w:val="000000" w:themeColor="text1"/>
        </w:rPr>
        <w:t xml:space="preserve">, </w:t>
      </w:r>
      <w:r w:rsidR="00DC1244">
        <w:rPr>
          <w:color w:val="000000" w:themeColor="text1"/>
        </w:rPr>
        <w:t>which can</w:t>
      </w:r>
      <w:r w:rsidR="00461EA9" w:rsidRPr="0079389A">
        <w:rPr>
          <w:color w:val="000000" w:themeColor="text1"/>
        </w:rPr>
        <w:t xml:space="preserve"> then </w:t>
      </w:r>
      <w:r w:rsidR="00E473E6" w:rsidRPr="0079389A">
        <w:rPr>
          <w:color w:val="000000" w:themeColor="text1"/>
        </w:rPr>
        <w:t xml:space="preserve">be </w:t>
      </w:r>
      <w:r w:rsidR="00461EA9" w:rsidRPr="0079389A">
        <w:rPr>
          <w:color w:val="000000" w:themeColor="text1"/>
        </w:rPr>
        <w:t>used to further monitor each of the above elements throughout the construction and commissioning stages of the project.</w:t>
      </w:r>
    </w:p>
    <w:p w:rsidR="00932467" w:rsidRDefault="00E473E6" w:rsidP="00A6695F">
      <w:pPr>
        <w:pStyle w:val="Standardparagraph"/>
      </w:pPr>
      <w:r>
        <w:t>This document will</w:t>
      </w:r>
      <w:r w:rsidR="00932467">
        <w:t xml:space="preserve"> </w:t>
      </w:r>
      <w:r>
        <w:t xml:space="preserve">need to </w:t>
      </w:r>
      <w:r w:rsidR="00932467">
        <w:t>incorporate the following:</w:t>
      </w:r>
    </w:p>
    <w:p w:rsidR="00932467" w:rsidRDefault="00D76D14" w:rsidP="00932467">
      <w:pPr>
        <w:pStyle w:val="Standardbullet"/>
      </w:pPr>
      <w:r>
        <w:t>A Project Cost Monitoring Form (see Appendix B for an example format).</w:t>
      </w:r>
    </w:p>
    <w:p w:rsidR="00D76D14" w:rsidRDefault="00D76D14" w:rsidP="00932467">
      <w:pPr>
        <w:pStyle w:val="Standardbullet"/>
      </w:pPr>
      <w:r>
        <w:t>A Construction Cost Plan (see Appendix B for an example template).</w:t>
      </w:r>
    </w:p>
    <w:p w:rsidR="00D76D14" w:rsidRDefault="00D76D14" w:rsidP="00932467">
      <w:pPr>
        <w:pStyle w:val="Standardbullet"/>
      </w:pPr>
      <w:r>
        <w:t>A Programme Monitoring Form (see Appendix C for an example format).</w:t>
      </w:r>
    </w:p>
    <w:p w:rsidR="00D76D14" w:rsidRDefault="00D76D14" w:rsidP="00932467">
      <w:pPr>
        <w:pStyle w:val="Standardbullet"/>
      </w:pPr>
      <w:r>
        <w:lastRenderedPageBreak/>
        <w:t>A summary of any significant project scope changes and their impact.</w:t>
      </w:r>
    </w:p>
    <w:p w:rsidR="00D76D14" w:rsidRDefault="00D76D14" w:rsidP="00932467">
      <w:pPr>
        <w:pStyle w:val="Standardbullet"/>
      </w:pPr>
      <w:r>
        <w:t>An outline of how health &amp; safety performance will be monitored and reviewed.</w:t>
      </w:r>
    </w:p>
    <w:p w:rsidR="00F4491A" w:rsidRDefault="00F4491A" w:rsidP="00932467">
      <w:pPr>
        <w:pStyle w:val="Standardbullet"/>
      </w:pPr>
      <w:r>
        <w:t>Highlights of the main design, engineering, and specification information and standards agreed for this project, with reference to where further information can be found.</w:t>
      </w:r>
    </w:p>
    <w:p w:rsidR="00F4491A" w:rsidRDefault="00F4491A" w:rsidP="00932467">
      <w:pPr>
        <w:pStyle w:val="Standardbullet"/>
      </w:pPr>
      <w:r>
        <w:t>Links to the current and ongoing NDAP design assessment process for the project, and details of how this will be used to assess the overall design and engineering impact upon completion.</w:t>
      </w:r>
    </w:p>
    <w:p w:rsidR="00D76D14" w:rsidRDefault="00D76D14" w:rsidP="00932467">
      <w:pPr>
        <w:pStyle w:val="Standardbullet"/>
      </w:pPr>
      <w:proofErr w:type="gramStart"/>
      <w:r>
        <w:t>A review of the current status of the project risk register</w:t>
      </w:r>
      <w:proofErr w:type="gramEnd"/>
      <w:r>
        <w:t>.</w:t>
      </w:r>
    </w:p>
    <w:p w:rsidR="00D76D14" w:rsidRDefault="00D76D14" w:rsidP="00A6695F">
      <w:pPr>
        <w:pStyle w:val="Standardparagraph"/>
      </w:pPr>
      <w:r>
        <w:t xml:space="preserve">Once developed, this document can then be used as part of the </w:t>
      </w:r>
      <w:r w:rsidR="00F4491A">
        <w:t>ongoing Project Monitoring p</w:t>
      </w:r>
      <w:r>
        <w:t>rocess during the construction and commissioning phases of the project.</w:t>
      </w:r>
      <w:r w:rsidR="00DC1244">
        <w:t xml:space="preserve">  Scottish Government may, on some projects, request to see a copy of the regular monitoring reports during project delivery.</w:t>
      </w:r>
    </w:p>
    <w:p w:rsidR="000E4717" w:rsidRPr="0079389A" w:rsidRDefault="001E385E" w:rsidP="00A6695F">
      <w:pPr>
        <w:pStyle w:val="Standardparagraph"/>
        <w:rPr>
          <w:color w:val="000000" w:themeColor="text1"/>
        </w:rPr>
      </w:pPr>
      <w:r w:rsidRPr="0079389A">
        <w:rPr>
          <w:color w:val="000000" w:themeColor="text1"/>
        </w:rPr>
        <w:t>A</w:t>
      </w:r>
      <w:r w:rsidR="000E4717" w:rsidRPr="0079389A">
        <w:rPr>
          <w:color w:val="000000" w:themeColor="text1"/>
        </w:rPr>
        <w:t xml:space="preserve"> </w:t>
      </w:r>
      <w:r w:rsidR="0083114A" w:rsidRPr="0079389A">
        <w:rPr>
          <w:color w:val="000000" w:themeColor="text1"/>
        </w:rPr>
        <w:t xml:space="preserve">final </w:t>
      </w:r>
      <w:r w:rsidR="000E4717" w:rsidRPr="0079389A">
        <w:rPr>
          <w:color w:val="000000" w:themeColor="text1"/>
        </w:rPr>
        <w:t xml:space="preserve">Project </w:t>
      </w:r>
      <w:r w:rsidR="0083114A" w:rsidRPr="0079389A">
        <w:rPr>
          <w:color w:val="000000" w:themeColor="text1"/>
        </w:rPr>
        <w:t xml:space="preserve">Monitoring Report </w:t>
      </w:r>
      <w:r w:rsidR="00923A7C" w:rsidRPr="0079389A">
        <w:rPr>
          <w:color w:val="000000" w:themeColor="text1"/>
        </w:rPr>
        <w:t xml:space="preserve">is to </w:t>
      </w:r>
      <w:r w:rsidR="0083114A" w:rsidRPr="0079389A">
        <w:rPr>
          <w:color w:val="000000" w:themeColor="text1"/>
        </w:rPr>
        <w:t>be submitted to Scottish Government</w:t>
      </w:r>
      <w:r w:rsidRPr="0079389A">
        <w:rPr>
          <w:color w:val="000000" w:themeColor="text1"/>
        </w:rPr>
        <w:t xml:space="preserve"> </w:t>
      </w:r>
      <w:r w:rsidR="00B127C1" w:rsidRPr="0079389A">
        <w:rPr>
          <w:color w:val="000000" w:themeColor="text1"/>
        </w:rPr>
        <w:t xml:space="preserve">shortly after project completion to </w:t>
      </w:r>
      <w:r w:rsidRPr="0079389A">
        <w:rPr>
          <w:color w:val="000000" w:themeColor="text1"/>
        </w:rPr>
        <w:t xml:space="preserve">the timescales </w:t>
      </w:r>
      <w:r w:rsidR="00B127C1" w:rsidRPr="0079389A">
        <w:rPr>
          <w:color w:val="000000" w:themeColor="text1"/>
        </w:rPr>
        <w:t xml:space="preserve">determined </w:t>
      </w:r>
      <w:r w:rsidRPr="0079389A">
        <w:rPr>
          <w:color w:val="000000" w:themeColor="text1"/>
        </w:rPr>
        <w:t xml:space="preserve">within the </w:t>
      </w:r>
      <w:r w:rsidR="00B127C1" w:rsidRPr="0079389A">
        <w:rPr>
          <w:color w:val="000000" w:themeColor="text1"/>
        </w:rPr>
        <w:t xml:space="preserve">Full Business Case.  This </w:t>
      </w:r>
      <w:r w:rsidR="00B9114D" w:rsidRPr="0079389A">
        <w:rPr>
          <w:color w:val="000000" w:themeColor="text1"/>
        </w:rPr>
        <w:t>will incorporate</w:t>
      </w:r>
      <w:r w:rsidR="000E4717" w:rsidRPr="0079389A">
        <w:rPr>
          <w:color w:val="000000" w:themeColor="text1"/>
        </w:rPr>
        <w:t xml:space="preserve"> the following:</w:t>
      </w:r>
    </w:p>
    <w:p w:rsidR="000E4717" w:rsidRDefault="000E4717" w:rsidP="000E4717">
      <w:pPr>
        <w:pStyle w:val="Standardbullet"/>
      </w:pPr>
      <w:r>
        <w:t>An updated Project Cost Monitoring Form which compares costs agreed at FBC stage with actual outturn costs, giving reasons for any differences.</w:t>
      </w:r>
    </w:p>
    <w:p w:rsidR="000E4717" w:rsidRDefault="000E4717" w:rsidP="000E4717">
      <w:pPr>
        <w:pStyle w:val="Standardbullet"/>
      </w:pPr>
      <w:r>
        <w:t>A Programme Monitoring Form which compares the programme milestones agreed at FBC stage with actual dates achieved, giving reasons for any differences.</w:t>
      </w:r>
    </w:p>
    <w:p w:rsidR="000E4717" w:rsidRDefault="000E4717" w:rsidP="000E4717">
      <w:pPr>
        <w:pStyle w:val="Standardbullet"/>
      </w:pPr>
      <w:r>
        <w:t>A summary of any significant project scope changes between FBC and project completion, and their impact on the project.</w:t>
      </w:r>
    </w:p>
    <w:p w:rsidR="000E4717" w:rsidRDefault="000E4717" w:rsidP="000E4717">
      <w:pPr>
        <w:pStyle w:val="Standardbullet"/>
      </w:pPr>
      <w:r>
        <w:t>A summary of health &amp; safety performance throughout the construction and commissioning phases.</w:t>
      </w:r>
    </w:p>
    <w:p w:rsidR="000E4717" w:rsidRDefault="003B67EB" w:rsidP="000E4717">
      <w:pPr>
        <w:pStyle w:val="Standardbullet"/>
      </w:pPr>
      <w:r>
        <w:t>An overview of achievement of the project’s design objectives, design standards, user expectati</w:t>
      </w:r>
      <w:r w:rsidR="00AB7E4D">
        <w:t>ons, and recommendations for</w:t>
      </w:r>
      <w:r>
        <w:t xml:space="preserve"> future improvements</w:t>
      </w:r>
      <w:r w:rsidR="000E4717">
        <w:t>.</w:t>
      </w:r>
    </w:p>
    <w:p w:rsidR="000E4717" w:rsidRDefault="000E4717" w:rsidP="000E4717">
      <w:pPr>
        <w:pStyle w:val="Standardbullet"/>
      </w:pPr>
      <w:r>
        <w:t xml:space="preserve"> A review of the </w:t>
      </w:r>
      <w:r w:rsidR="003B67EB">
        <w:t xml:space="preserve">management of risks throughout the </w:t>
      </w:r>
      <w:r>
        <w:t>project</w:t>
      </w:r>
      <w:r w:rsidR="003B67EB">
        <w:t xml:space="preserve"> development.</w:t>
      </w:r>
    </w:p>
    <w:p w:rsidR="007E0DCE" w:rsidRDefault="001E385E">
      <w:pPr>
        <w:pStyle w:val="Heading2"/>
        <w:jc w:val="both"/>
      </w:pPr>
      <w:r>
        <w:lastRenderedPageBreak/>
        <w:t>Service Benefit</w:t>
      </w:r>
      <w:r w:rsidR="00200519">
        <w:t>s</w:t>
      </w:r>
      <w:r>
        <w:t xml:space="preserve"> </w:t>
      </w:r>
      <w:r w:rsidR="00200519">
        <w:t>Evaluation – was the</w:t>
      </w:r>
      <w:r w:rsidR="003B67EB">
        <w:t xml:space="preserve"> </w:t>
      </w:r>
      <w:r w:rsidR="007C028C">
        <w:t>project a success?</w:t>
      </w:r>
    </w:p>
    <w:p w:rsidR="00200519" w:rsidRPr="0002418F" w:rsidRDefault="00DA0CBC" w:rsidP="00A6695F">
      <w:pPr>
        <w:pStyle w:val="Standardparagraph"/>
        <w:rPr>
          <w:color w:val="000000" w:themeColor="text1"/>
        </w:rPr>
      </w:pPr>
      <w:r w:rsidRPr="0002418F">
        <w:rPr>
          <w:color w:val="000000" w:themeColor="text1"/>
        </w:rPr>
        <w:t>The rationale for a</w:t>
      </w:r>
      <w:r w:rsidR="00FE3799" w:rsidRPr="0002418F">
        <w:rPr>
          <w:color w:val="000000" w:themeColor="text1"/>
        </w:rPr>
        <w:t xml:space="preserve"> project </w:t>
      </w:r>
      <w:r w:rsidRPr="0002418F">
        <w:rPr>
          <w:color w:val="000000" w:themeColor="text1"/>
        </w:rPr>
        <w:t xml:space="preserve">will have </w:t>
      </w:r>
      <w:r w:rsidR="00200519" w:rsidRPr="0002418F">
        <w:rPr>
          <w:color w:val="000000" w:themeColor="text1"/>
        </w:rPr>
        <w:t xml:space="preserve">identified </w:t>
      </w:r>
      <w:r w:rsidRPr="0002418F">
        <w:rPr>
          <w:color w:val="000000" w:themeColor="text1"/>
        </w:rPr>
        <w:t>the potenti</w:t>
      </w:r>
      <w:r w:rsidR="00FE3799" w:rsidRPr="0002418F">
        <w:rPr>
          <w:color w:val="000000" w:themeColor="text1"/>
        </w:rPr>
        <w:t>al benefits to be gained from</w:t>
      </w:r>
      <w:r w:rsidR="004343F6" w:rsidRPr="0002418F">
        <w:rPr>
          <w:color w:val="000000" w:themeColor="text1"/>
        </w:rPr>
        <w:t xml:space="preserve"> the successful delivery of the project.</w:t>
      </w:r>
      <w:r w:rsidR="00FE3799" w:rsidRPr="0002418F">
        <w:rPr>
          <w:color w:val="000000" w:themeColor="text1"/>
        </w:rPr>
        <w:t xml:space="preserve"> </w:t>
      </w:r>
      <w:r w:rsidR="004343F6" w:rsidRPr="0002418F">
        <w:rPr>
          <w:color w:val="000000" w:themeColor="text1"/>
        </w:rPr>
        <w:t xml:space="preserve"> Thes</w:t>
      </w:r>
      <w:r w:rsidR="00853272" w:rsidRPr="0002418F">
        <w:rPr>
          <w:color w:val="000000" w:themeColor="text1"/>
        </w:rPr>
        <w:t>e benefits will include those</w:t>
      </w:r>
      <w:r w:rsidR="004343F6" w:rsidRPr="0002418F">
        <w:rPr>
          <w:color w:val="000000" w:themeColor="text1"/>
        </w:rPr>
        <w:t xml:space="preserve"> directly associated with service improvement, as well as others with a more in-direct supporting influence.  </w:t>
      </w:r>
      <w:r w:rsidR="00200519" w:rsidRPr="0002418F">
        <w:rPr>
          <w:color w:val="000000" w:themeColor="text1"/>
        </w:rPr>
        <w:t xml:space="preserve">All benefits within the project’s benefits realisation plan should therefore be assessed as part of the Service Benefits Evaluation process. </w:t>
      </w:r>
      <w:r w:rsidR="004343F6" w:rsidRPr="0002418F">
        <w:rPr>
          <w:color w:val="000000" w:themeColor="text1"/>
        </w:rPr>
        <w:t xml:space="preserve"> It will also encompass the project’s impact on service delivery, activity and performance.</w:t>
      </w:r>
    </w:p>
    <w:p w:rsidR="00DA0CBC" w:rsidRPr="001569DF" w:rsidRDefault="00200519" w:rsidP="00A6695F">
      <w:pPr>
        <w:pStyle w:val="Standardparagraph"/>
        <w:rPr>
          <w:color w:val="000000" w:themeColor="text1"/>
        </w:rPr>
      </w:pPr>
      <w:r w:rsidRPr="001569DF">
        <w:rPr>
          <w:color w:val="000000" w:themeColor="text1"/>
        </w:rPr>
        <w:t xml:space="preserve">The </w:t>
      </w:r>
      <w:r w:rsidR="00DA0CBC" w:rsidRPr="001569DF">
        <w:rPr>
          <w:color w:val="000000" w:themeColor="text1"/>
        </w:rPr>
        <w:t xml:space="preserve">evaluation </w:t>
      </w:r>
      <w:r w:rsidR="008357A0" w:rsidRPr="001569DF">
        <w:rPr>
          <w:color w:val="000000" w:themeColor="text1"/>
        </w:rPr>
        <w:t xml:space="preserve">will need to </w:t>
      </w:r>
      <w:r w:rsidR="00DA0CBC" w:rsidRPr="001569DF">
        <w:rPr>
          <w:color w:val="000000" w:themeColor="text1"/>
        </w:rPr>
        <w:t xml:space="preserve">be carried </w:t>
      </w:r>
      <w:r w:rsidR="00A1161B" w:rsidRPr="001569DF">
        <w:rPr>
          <w:color w:val="000000" w:themeColor="text1"/>
        </w:rPr>
        <w:t xml:space="preserve">out by the milestone dates set out in the </w:t>
      </w:r>
      <w:r w:rsidR="004343F6" w:rsidRPr="001569DF">
        <w:rPr>
          <w:color w:val="000000" w:themeColor="text1"/>
        </w:rPr>
        <w:t xml:space="preserve">project’s </w:t>
      </w:r>
      <w:r w:rsidR="00A4720C" w:rsidRPr="001569DF">
        <w:rPr>
          <w:color w:val="000000" w:themeColor="text1"/>
        </w:rPr>
        <w:t>full evaluation plan</w:t>
      </w:r>
      <w:r w:rsidR="00A1161B" w:rsidRPr="001569DF">
        <w:rPr>
          <w:color w:val="000000" w:themeColor="text1"/>
        </w:rPr>
        <w:t xml:space="preserve">, which should allow for </w:t>
      </w:r>
      <w:r w:rsidR="00DA0CBC" w:rsidRPr="001569DF">
        <w:rPr>
          <w:color w:val="000000" w:themeColor="text1"/>
        </w:rPr>
        <w:t xml:space="preserve">a reasonable bedding-in period following occupation of a new, or </w:t>
      </w:r>
      <w:r w:rsidR="00923A7C" w:rsidRPr="001569DF">
        <w:rPr>
          <w:color w:val="000000" w:themeColor="text1"/>
        </w:rPr>
        <w:t xml:space="preserve">substantially altered, </w:t>
      </w:r>
      <w:r w:rsidR="00DA0CBC" w:rsidRPr="001569DF">
        <w:rPr>
          <w:color w:val="000000" w:themeColor="text1"/>
        </w:rPr>
        <w:t>facility.  The main</w:t>
      </w:r>
      <w:r w:rsidR="00C61B2A" w:rsidRPr="001569DF">
        <w:rPr>
          <w:color w:val="000000" w:themeColor="text1"/>
        </w:rPr>
        <w:t xml:space="preserve"> focus of this evaluation will</w:t>
      </w:r>
      <w:r w:rsidR="00DA0CBC" w:rsidRPr="001569DF">
        <w:rPr>
          <w:color w:val="000000" w:themeColor="text1"/>
        </w:rPr>
        <w:t xml:space="preserve"> involve:</w:t>
      </w:r>
    </w:p>
    <w:p w:rsidR="00DA0CBC" w:rsidRDefault="00DA0CBC" w:rsidP="00A1161B">
      <w:pPr>
        <w:pStyle w:val="Standardbullet"/>
      </w:pPr>
      <w:r>
        <w:t>Assessing whether, and to what extent, the project has realised its expected benefits.</w:t>
      </w:r>
    </w:p>
    <w:p w:rsidR="00845191" w:rsidRDefault="00845191" w:rsidP="00845191">
      <w:pPr>
        <w:pStyle w:val="Standardbullet"/>
      </w:pPr>
      <w:r>
        <w:t>Gaining feedback from users and other stakeholders on how well the project outcome, e.g. a new facility, meets their expectations.</w:t>
      </w:r>
    </w:p>
    <w:p w:rsidR="00A1161B" w:rsidRPr="0002418F" w:rsidRDefault="00A1161B" w:rsidP="00A1161B">
      <w:pPr>
        <w:pStyle w:val="Standardbullet"/>
        <w:rPr>
          <w:color w:val="000000" w:themeColor="text1"/>
        </w:rPr>
      </w:pPr>
      <w:r w:rsidRPr="0002418F">
        <w:rPr>
          <w:color w:val="000000" w:themeColor="text1"/>
        </w:rPr>
        <w:t>Reviewing the impact of any service change on operational activities, processes and people</w:t>
      </w:r>
      <w:r w:rsidR="00845191" w:rsidRPr="0002418F">
        <w:rPr>
          <w:color w:val="000000" w:themeColor="text1"/>
        </w:rPr>
        <w:t>.</w:t>
      </w:r>
      <w:r w:rsidRPr="0002418F">
        <w:rPr>
          <w:color w:val="000000" w:themeColor="text1"/>
        </w:rPr>
        <w:t xml:space="preserve"> </w:t>
      </w:r>
    </w:p>
    <w:p w:rsidR="00845191" w:rsidRDefault="00845191" w:rsidP="00845191">
      <w:pPr>
        <w:pStyle w:val="Standardbullet"/>
      </w:pPr>
      <w:r>
        <w:t>Understanding how well the project has i</w:t>
      </w:r>
      <w:r w:rsidR="004D5132">
        <w:t>mpacted on service activity</w:t>
      </w:r>
      <w:r>
        <w:t xml:space="preserve"> and performance.</w:t>
      </w:r>
    </w:p>
    <w:p w:rsidR="007E0DCE" w:rsidRPr="00A6695F" w:rsidRDefault="00546323" w:rsidP="00A6695F">
      <w:pPr>
        <w:pStyle w:val="Standardparagraph"/>
      </w:pPr>
      <w:r w:rsidRPr="00A6695F">
        <w:t xml:space="preserve">The </w:t>
      </w:r>
      <w:r w:rsidR="008357A0">
        <w:t xml:space="preserve">Service Benefits </w:t>
      </w:r>
      <w:r w:rsidRPr="00A6695F">
        <w:t>E</w:t>
      </w:r>
      <w:r w:rsidR="00A27D45" w:rsidRPr="00A6695F">
        <w:t xml:space="preserve">valuation process should </w:t>
      </w:r>
      <w:r w:rsidR="00F00213" w:rsidRPr="00A6695F">
        <w:t xml:space="preserve">thus </w:t>
      </w:r>
      <w:r w:rsidR="00A27D45" w:rsidRPr="00A6695F">
        <w:t>cover the following elements:</w:t>
      </w:r>
    </w:p>
    <w:p w:rsidR="00E802D2" w:rsidRDefault="00C61B2A" w:rsidP="00E802D2">
      <w:pPr>
        <w:pStyle w:val="Heading3"/>
      </w:pPr>
      <w:r>
        <w:t>Realis</w:t>
      </w:r>
      <w:r w:rsidR="00313F2B">
        <w:t xml:space="preserve">ing </w:t>
      </w:r>
      <w:r w:rsidR="00845191">
        <w:t xml:space="preserve">the </w:t>
      </w:r>
      <w:r>
        <w:t>expected benefits</w:t>
      </w:r>
    </w:p>
    <w:p w:rsidR="00C61B2A" w:rsidRDefault="00E802D2" w:rsidP="007050E5">
      <w:pPr>
        <w:pStyle w:val="Standardparagraph"/>
      </w:pPr>
      <w:r>
        <w:t xml:space="preserve">The project’s benefits realisation plan </w:t>
      </w:r>
      <w:r w:rsidR="00546323">
        <w:t xml:space="preserve">will </w:t>
      </w:r>
      <w:r w:rsidR="00F00213">
        <w:t xml:space="preserve">form a significant and important role in the evaluation of a project’s success, as it should cover </w:t>
      </w:r>
      <w:r>
        <w:t xml:space="preserve">how the project </w:t>
      </w:r>
      <w:r w:rsidR="00F00213">
        <w:t>was</w:t>
      </w:r>
      <w:r w:rsidR="00884573">
        <w:t xml:space="preserve"> expected to </w:t>
      </w:r>
      <w:r w:rsidR="00845191">
        <w:t xml:space="preserve">deliver its investment objectives; facilitate service improvement, </w:t>
      </w:r>
      <w:r w:rsidR="00884573">
        <w:t>respond</w:t>
      </w:r>
      <w:r>
        <w:t xml:space="preserve"> to </w:t>
      </w:r>
      <w:proofErr w:type="spellStart"/>
      <w:r>
        <w:t>NHSScotland’s</w:t>
      </w:r>
      <w:proofErr w:type="spellEnd"/>
      <w:r>
        <w:t xml:space="preserve"> S</w:t>
      </w:r>
      <w:r w:rsidR="004744A4">
        <w:t>trategic Investment Priorities;</w:t>
      </w:r>
      <w:r w:rsidR="00884573">
        <w:t xml:space="preserve"> </w:t>
      </w:r>
      <w:r w:rsidR="004744A4">
        <w:t>influence wider social, environmental and employment benefits;</w:t>
      </w:r>
      <w:r>
        <w:t xml:space="preserve"> </w:t>
      </w:r>
      <w:r w:rsidR="00EA38E2">
        <w:t xml:space="preserve">engender partnership working; </w:t>
      </w:r>
      <w:r>
        <w:t xml:space="preserve">and </w:t>
      </w:r>
      <w:r w:rsidR="00884573">
        <w:t xml:space="preserve">realise any other benefits as a result of the successful delivery of the project.  </w:t>
      </w:r>
    </w:p>
    <w:p w:rsidR="00EA38E2" w:rsidRDefault="00EA38E2">
      <w:pPr>
        <w:rPr>
          <w:rFonts w:ascii="Arial" w:eastAsia="Times New Roman" w:hAnsi="Arial" w:cs="Times New Roman"/>
          <w:sz w:val="24"/>
          <w:szCs w:val="20"/>
        </w:rPr>
      </w:pPr>
      <w:r>
        <w:br w:type="page"/>
      </w:r>
    </w:p>
    <w:p w:rsidR="00C61B2A" w:rsidRPr="00C61B2A" w:rsidRDefault="00BB20F7" w:rsidP="00C61B2A">
      <w:pPr>
        <w:pStyle w:val="Standardparagraph"/>
      </w:pPr>
      <w:r>
        <w:lastRenderedPageBreak/>
        <w:t xml:space="preserve">The </w:t>
      </w:r>
      <w:r w:rsidR="00C61B2A">
        <w:t xml:space="preserve">evaluation </w:t>
      </w:r>
      <w:r>
        <w:t xml:space="preserve">process </w:t>
      </w:r>
      <w:r w:rsidR="005360A1">
        <w:t>will involve</w:t>
      </w:r>
      <w:r w:rsidR="00C61B2A">
        <w:t xml:space="preserve"> a range of </w:t>
      </w:r>
      <w:r w:rsidR="005360A1">
        <w:t xml:space="preserve">qualitative and quantitative </w:t>
      </w:r>
      <w:r w:rsidR="00C61B2A">
        <w:t>techniques</w:t>
      </w:r>
      <w:r w:rsidR="005360A1">
        <w:t xml:space="preserve"> </w:t>
      </w:r>
      <w:r w:rsidR="00923A7C">
        <w:t xml:space="preserve">as </w:t>
      </w:r>
      <w:r w:rsidR="005360A1">
        <w:t xml:space="preserve">set out in the project’s benefits realisation plan.  The evaluation should therefore use these techniques to </w:t>
      </w:r>
      <w:r w:rsidR="00C61B2A">
        <w:t>a</w:t>
      </w:r>
      <w:r w:rsidR="00C61B2A" w:rsidRPr="00C61B2A">
        <w:t>ssess whether, and to what exte</w:t>
      </w:r>
      <w:r w:rsidR="00C61B2A">
        <w:t>nt</w:t>
      </w:r>
      <w:r w:rsidR="005360A1">
        <w:t>, the project has realised its expected</w:t>
      </w:r>
      <w:r w:rsidR="00C61B2A" w:rsidRPr="00C61B2A">
        <w:t xml:space="preserve"> benefits</w:t>
      </w:r>
      <w:r w:rsidR="005360A1">
        <w:t xml:space="preserve"> by their anticipated date</w:t>
      </w:r>
      <w:r w:rsidR="00C61B2A" w:rsidRPr="00C61B2A">
        <w:t>.</w:t>
      </w:r>
    </w:p>
    <w:p w:rsidR="00C706C1" w:rsidRDefault="002F5BE1" w:rsidP="00C706C1">
      <w:pPr>
        <w:pStyle w:val="Heading3"/>
      </w:pPr>
      <w:r>
        <w:t xml:space="preserve">Meeting stakeholder </w:t>
      </w:r>
      <w:r w:rsidR="00B31323">
        <w:t>expectations</w:t>
      </w:r>
    </w:p>
    <w:p w:rsidR="002F5BE1" w:rsidRDefault="002F5BE1" w:rsidP="007050E5">
      <w:pPr>
        <w:pStyle w:val="Standardparagraph"/>
      </w:pPr>
      <w:r>
        <w:t>Meet</w:t>
      </w:r>
      <w:r w:rsidR="00845191">
        <w:t>ing stakeholder expectations should</w:t>
      </w:r>
      <w:r>
        <w:t xml:space="preserve"> have </w:t>
      </w:r>
      <w:r w:rsidR="00845191">
        <w:t xml:space="preserve">formed some part of </w:t>
      </w:r>
      <w:r>
        <w:t>the project’s benefits realisation plan</w:t>
      </w:r>
      <w:r w:rsidR="00845191">
        <w:t>.  I</w:t>
      </w:r>
      <w:r>
        <w:t>f not</w:t>
      </w:r>
      <w:r w:rsidR="00845191">
        <w:t>,</w:t>
      </w:r>
      <w:r>
        <w:t xml:space="preserve"> then th</w:t>
      </w:r>
      <w:r w:rsidR="00845191">
        <w:t>is service benefits evaluation will</w:t>
      </w:r>
      <w:r>
        <w:t xml:space="preserve"> </w:t>
      </w:r>
      <w:r w:rsidR="00845191">
        <w:t xml:space="preserve">still </w:t>
      </w:r>
      <w:r>
        <w:t xml:space="preserve">need to gain </w:t>
      </w:r>
      <w:r w:rsidR="00845191">
        <w:t xml:space="preserve">their </w:t>
      </w:r>
      <w:r>
        <w:t xml:space="preserve">feedback on how well the facility </w:t>
      </w:r>
      <w:r w:rsidR="00923A7C">
        <w:t xml:space="preserve">does indeed </w:t>
      </w:r>
      <w:r w:rsidR="00CE15A5">
        <w:t>meet</w:t>
      </w:r>
      <w:r>
        <w:t xml:space="preserve"> their expectations.</w:t>
      </w:r>
    </w:p>
    <w:p w:rsidR="00CE15A5" w:rsidRPr="0002418F" w:rsidRDefault="002F5BE1" w:rsidP="007050E5">
      <w:pPr>
        <w:pStyle w:val="Standardparagraph"/>
        <w:rPr>
          <w:color w:val="000000" w:themeColor="text1"/>
        </w:rPr>
      </w:pPr>
      <w:r w:rsidRPr="0002418F">
        <w:rPr>
          <w:color w:val="000000" w:themeColor="text1"/>
        </w:rPr>
        <w:t>The process</w:t>
      </w:r>
      <w:r w:rsidR="00CE15A5" w:rsidRPr="0002418F">
        <w:rPr>
          <w:color w:val="000000" w:themeColor="text1"/>
        </w:rPr>
        <w:t xml:space="preserve"> will need to select stakeholders who are most capable of providing relevant insight into the success of the project from their perspective.  It will be importa</w:t>
      </w:r>
      <w:r w:rsidR="00AB7E4D">
        <w:rPr>
          <w:color w:val="000000" w:themeColor="text1"/>
        </w:rPr>
        <w:t>nt to clearly outline what the</w:t>
      </w:r>
      <w:r w:rsidR="00CE15A5" w:rsidRPr="0002418F">
        <w:rPr>
          <w:color w:val="000000" w:themeColor="text1"/>
        </w:rPr>
        <w:t xml:space="preserve"> original expectations were prior to asking whether the project has met them.  Techniques for this process often include gaining feedback from questionnaires and / or structured interviews.</w:t>
      </w:r>
    </w:p>
    <w:p w:rsidR="002F5BE1" w:rsidRDefault="002F5BE1" w:rsidP="007050E5">
      <w:pPr>
        <w:pStyle w:val="Standardparagraph"/>
      </w:pPr>
      <w:r>
        <w:t xml:space="preserve">The NHS Board </w:t>
      </w:r>
      <w:r w:rsidR="00923A7C">
        <w:t>is expected to devise their own</w:t>
      </w:r>
      <w:r>
        <w:t xml:space="preserve"> project specific </w:t>
      </w:r>
      <w:r w:rsidR="000D0595">
        <w:t>questionnaires and</w:t>
      </w:r>
      <w:r w:rsidR="001569DF">
        <w:t xml:space="preserve"> structured interview questions;</w:t>
      </w:r>
      <w:r w:rsidR="000D0595">
        <w:t xml:space="preserve"> however, the following may be useful </w:t>
      </w:r>
      <w:r w:rsidR="007875A4">
        <w:t xml:space="preserve">reference materials for such an exercise: </w:t>
      </w:r>
    </w:p>
    <w:p w:rsidR="000D0595" w:rsidRDefault="000D0595" w:rsidP="000D0595">
      <w:pPr>
        <w:pStyle w:val="Standardbullet"/>
      </w:pPr>
      <w:r>
        <w:t xml:space="preserve">The Scottish Inpatient </w:t>
      </w:r>
      <w:r w:rsidRPr="00F44182">
        <w:t xml:space="preserve">Experience </w:t>
      </w:r>
      <w:r w:rsidRPr="007050E5">
        <w:t>Survey</w:t>
      </w:r>
      <w:r>
        <w:t>, which asks questions about the quality of service delivery, different aspects of facilities management delivery, and the appropriateness of the internal environment of hospital facilities.</w:t>
      </w:r>
    </w:p>
    <w:p w:rsidR="000D0595" w:rsidRDefault="000D0595" w:rsidP="000D0595">
      <w:pPr>
        <w:pStyle w:val="Standardbullet"/>
      </w:pPr>
      <w:r>
        <w:t xml:space="preserve">The ASPECT toolkit, which asks questions on the quality of both staff and patient environments. </w:t>
      </w:r>
    </w:p>
    <w:p w:rsidR="002F5BE1" w:rsidRPr="0002418F" w:rsidRDefault="00650A85" w:rsidP="00C706C1">
      <w:pPr>
        <w:pStyle w:val="Standardparagraph"/>
        <w:rPr>
          <w:color w:val="000000" w:themeColor="text1"/>
        </w:rPr>
      </w:pPr>
      <w:r w:rsidRPr="0002418F">
        <w:rPr>
          <w:color w:val="000000" w:themeColor="text1"/>
        </w:rPr>
        <w:t>The aim</w:t>
      </w:r>
      <w:r w:rsidR="002F5BE1" w:rsidRPr="0002418F">
        <w:rPr>
          <w:color w:val="000000" w:themeColor="text1"/>
        </w:rPr>
        <w:t xml:space="preserve"> of this</w:t>
      </w:r>
      <w:r w:rsidR="00AB7E4D">
        <w:rPr>
          <w:color w:val="000000" w:themeColor="text1"/>
        </w:rPr>
        <w:t xml:space="preserve"> part</w:t>
      </w:r>
      <w:r w:rsidRPr="0002418F">
        <w:rPr>
          <w:color w:val="000000" w:themeColor="text1"/>
        </w:rPr>
        <w:t xml:space="preserve"> </w:t>
      </w:r>
      <w:r w:rsidR="002F5BE1" w:rsidRPr="0002418F">
        <w:rPr>
          <w:color w:val="000000" w:themeColor="text1"/>
        </w:rPr>
        <w:t xml:space="preserve">of the evaluation is to gain </w:t>
      </w:r>
      <w:r w:rsidRPr="0002418F">
        <w:rPr>
          <w:color w:val="000000" w:themeColor="text1"/>
        </w:rPr>
        <w:t xml:space="preserve">a better understanding of </w:t>
      </w:r>
      <w:r w:rsidR="002F5BE1" w:rsidRPr="0002418F">
        <w:rPr>
          <w:color w:val="000000" w:themeColor="text1"/>
        </w:rPr>
        <w:t xml:space="preserve">user and stakeholder opinion on what </w:t>
      </w:r>
      <w:r w:rsidRPr="0002418F">
        <w:rPr>
          <w:color w:val="000000" w:themeColor="text1"/>
        </w:rPr>
        <w:t xml:space="preserve">they regard as a success, what </w:t>
      </w:r>
      <w:r w:rsidR="002F5BE1" w:rsidRPr="0002418F">
        <w:rPr>
          <w:color w:val="000000" w:themeColor="text1"/>
        </w:rPr>
        <w:t xml:space="preserve">could have been done better, what alterations to the facility may still need to be made, and what improvements could be made to </w:t>
      </w:r>
      <w:r w:rsidR="000D0595" w:rsidRPr="0002418F">
        <w:rPr>
          <w:color w:val="000000" w:themeColor="text1"/>
        </w:rPr>
        <w:t xml:space="preserve">the benefit of </w:t>
      </w:r>
      <w:r w:rsidR="002F5BE1" w:rsidRPr="0002418F">
        <w:rPr>
          <w:color w:val="000000" w:themeColor="text1"/>
        </w:rPr>
        <w:t>future projects.</w:t>
      </w:r>
    </w:p>
    <w:p w:rsidR="00650A85" w:rsidRPr="0002418F" w:rsidRDefault="00650A85" w:rsidP="00725B6F">
      <w:pPr>
        <w:pStyle w:val="Heading3"/>
      </w:pPr>
      <w:r w:rsidRPr="0002418F">
        <w:t>Reviewing the impact of service change</w:t>
      </w:r>
    </w:p>
    <w:p w:rsidR="00650A85" w:rsidRPr="0002418F" w:rsidRDefault="00650A85" w:rsidP="00650A85">
      <w:pPr>
        <w:pStyle w:val="Standardparagraph"/>
        <w:rPr>
          <w:rStyle w:val="Emphasis"/>
          <w:rFonts w:eastAsiaTheme="majorEastAsia"/>
          <w:i w:val="0"/>
          <w:iCs w:val="0"/>
          <w:color w:val="000000" w:themeColor="text1"/>
        </w:rPr>
      </w:pPr>
      <w:r w:rsidRPr="0002418F">
        <w:rPr>
          <w:color w:val="000000" w:themeColor="text1"/>
        </w:rPr>
        <w:t>The Management Case</w:t>
      </w:r>
      <w:r w:rsidR="005A3052" w:rsidRPr="0002418F">
        <w:rPr>
          <w:color w:val="000000" w:themeColor="text1"/>
        </w:rPr>
        <w:t xml:space="preserve"> of the project’s business case</w:t>
      </w:r>
      <w:r w:rsidRPr="0002418F">
        <w:rPr>
          <w:color w:val="000000" w:themeColor="text1"/>
        </w:rPr>
        <w:t xml:space="preserve"> will have identified </w:t>
      </w:r>
      <w:r w:rsidR="00853272" w:rsidRPr="0002418F">
        <w:rPr>
          <w:color w:val="000000" w:themeColor="text1"/>
        </w:rPr>
        <w:t>the</w:t>
      </w:r>
      <w:r w:rsidR="005A3052" w:rsidRPr="0002418F">
        <w:rPr>
          <w:color w:val="000000" w:themeColor="text1"/>
        </w:rPr>
        <w:t xml:space="preserve"> impact of service change </w:t>
      </w:r>
      <w:r w:rsidR="00853272" w:rsidRPr="0002418F">
        <w:rPr>
          <w:color w:val="000000" w:themeColor="text1"/>
        </w:rPr>
        <w:t xml:space="preserve">associated with the project </w:t>
      </w:r>
      <w:r w:rsidRPr="0002418F">
        <w:rPr>
          <w:rStyle w:val="Emphasis"/>
          <w:rFonts w:eastAsiaTheme="majorEastAsia"/>
          <w:i w:val="0"/>
          <w:iCs w:val="0"/>
          <w:color w:val="000000" w:themeColor="text1"/>
        </w:rPr>
        <w:t xml:space="preserve">on </w:t>
      </w:r>
      <w:r w:rsidR="005A3052" w:rsidRPr="0002418F">
        <w:rPr>
          <w:rStyle w:val="Emphasis"/>
          <w:rFonts w:eastAsiaTheme="majorEastAsia"/>
          <w:i w:val="0"/>
          <w:iCs w:val="0"/>
          <w:color w:val="000000" w:themeColor="text1"/>
        </w:rPr>
        <w:t xml:space="preserve">the NHS Board’s </w:t>
      </w:r>
      <w:r w:rsidR="00853272" w:rsidRPr="0002418F">
        <w:rPr>
          <w:rStyle w:val="Emphasis"/>
          <w:rFonts w:eastAsiaTheme="majorEastAsia"/>
          <w:i w:val="0"/>
          <w:iCs w:val="0"/>
          <w:color w:val="000000" w:themeColor="text1"/>
        </w:rPr>
        <w:t xml:space="preserve">current </w:t>
      </w:r>
      <w:r w:rsidRPr="0002418F">
        <w:rPr>
          <w:rStyle w:val="Emphasis"/>
          <w:rFonts w:eastAsiaTheme="majorEastAsia"/>
          <w:i w:val="0"/>
          <w:iCs w:val="0"/>
          <w:color w:val="000000" w:themeColor="text1"/>
        </w:rPr>
        <w:t>opera</w:t>
      </w:r>
      <w:r w:rsidR="005A3052" w:rsidRPr="0002418F">
        <w:rPr>
          <w:rStyle w:val="Emphasis"/>
          <w:rFonts w:eastAsiaTheme="majorEastAsia"/>
          <w:i w:val="0"/>
          <w:iCs w:val="0"/>
          <w:color w:val="000000" w:themeColor="text1"/>
        </w:rPr>
        <w:t>tional activities</w:t>
      </w:r>
      <w:r w:rsidR="001D4FC2" w:rsidRPr="0002418F">
        <w:rPr>
          <w:rStyle w:val="Emphasis"/>
          <w:rFonts w:eastAsiaTheme="majorEastAsia"/>
          <w:i w:val="0"/>
          <w:iCs w:val="0"/>
          <w:color w:val="000000" w:themeColor="text1"/>
        </w:rPr>
        <w:t xml:space="preserve">, </w:t>
      </w:r>
      <w:r w:rsidR="003957FF" w:rsidRPr="0002418F">
        <w:rPr>
          <w:rStyle w:val="Emphasis"/>
          <w:rFonts w:eastAsiaTheme="majorEastAsia"/>
          <w:i w:val="0"/>
          <w:iCs w:val="0"/>
          <w:color w:val="000000" w:themeColor="text1"/>
        </w:rPr>
        <w:t xml:space="preserve">which </w:t>
      </w:r>
      <w:r w:rsidR="001D4FC2" w:rsidRPr="0002418F">
        <w:rPr>
          <w:rStyle w:val="Emphasis"/>
          <w:rFonts w:eastAsiaTheme="majorEastAsia"/>
          <w:i w:val="0"/>
          <w:iCs w:val="0"/>
          <w:color w:val="000000" w:themeColor="text1"/>
        </w:rPr>
        <w:t xml:space="preserve">will </w:t>
      </w:r>
      <w:r w:rsidR="005A3052" w:rsidRPr="0002418F">
        <w:rPr>
          <w:rStyle w:val="Emphasis"/>
          <w:rFonts w:eastAsiaTheme="majorEastAsia"/>
          <w:i w:val="0"/>
          <w:iCs w:val="0"/>
          <w:color w:val="000000" w:themeColor="text1"/>
        </w:rPr>
        <w:t xml:space="preserve">have resulted in the presentation of </w:t>
      </w:r>
      <w:r w:rsidRPr="0002418F">
        <w:rPr>
          <w:rStyle w:val="Emphasis"/>
          <w:rFonts w:eastAsiaTheme="majorEastAsia"/>
          <w:i w:val="0"/>
          <w:iCs w:val="0"/>
          <w:color w:val="000000" w:themeColor="text1"/>
        </w:rPr>
        <w:t>an operational</w:t>
      </w:r>
      <w:r w:rsidR="00AB7E4D">
        <w:rPr>
          <w:rStyle w:val="Emphasis"/>
          <w:rFonts w:eastAsiaTheme="majorEastAsia"/>
          <w:i w:val="0"/>
          <w:iCs w:val="0"/>
          <w:color w:val="000000" w:themeColor="text1"/>
        </w:rPr>
        <w:t xml:space="preserve"> </w:t>
      </w:r>
      <w:r w:rsidR="00AB7E4D">
        <w:rPr>
          <w:rStyle w:val="Emphasis"/>
          <w:rFonts w:eastAsiaTheme="majorEastAsia"/>
          <w:i w:val="0"/>
          <w:iCs w:val="0"/>
          <w:color w:val="000000" w:themeColor="text1"/>
        </w:rPr>
        <w:lastRenderedPageBreak/>
        <w:t>or service</w:t>
      </w:r>
      <w:r w:rsidRPr="0002418F">
        <w:rPr>
          <w:rStyle w:val="Emphasis"/>
          <w:rFonts w:eastAsiaTheme="majorEastAsia"/>
          <w:i w:val="0"/>
          <w:iCs w:val="0"/>
          <w:color w:val="000000" w:themeColor="text1"/>
        </w:rPr>
        <w:t xml:space="preserve"> change management plan.</w:t>
      </w:r>
      <w:r w:rsidR="005A3052" w:rsidRPr="0002418F">
        <w:rPr>
          <w:rStyle w:val="Emphasis"/>
          <w:rFonts w:eastAsiaTheme="majorEastAsia"/>
          <w:i w:val="0"/>
          <w:iCs w:val="0"/>
          <w:color w:val="000000" w:themeColor="text1"/>
        </w:rPr>
        <w:t xml:space="preserve">  This plan will become the source document for </w:t>
      </w:r>
      <w:r w:rsidR="001D4FC2" w:rsidRPr="0002418F">
        <w:rPr>
          <w:rStyle w:val="Emphasis"/>
          <w:rFonts w:eastAsiaTheme="majorEastAsia"/>
          <w:i w:val="0"/>
          <w:iCs w:val="0"/>
          <w:color w:val="000000" w:themeColor="text1"/>
        </w:rPr>
        <w:t xml:space="preserve">comparing the expected </w:t>
      </w:r>
      <w:r w:rsidR="00EB221F" w:rsidRPr="0002418F">
        <w:rPr>
          <w:rStyle w:val="Emphasis"/>
          <w:rFonts w:eastAsiaTheme="majorEastAsia"/>
          <w:i w:val="0"/>
          <w:iCs w:val="0"/>
          <w:color w:val="000000" w:themeColor="text1"/>
        </w:rPr>
        <w:t xml:space="preserve">impact </w:t>
      </w:r>
      <w:r w:rsidR="001D4FC2" w:rsidRPr="0002418F">
        <w:rPr>
          <w:rStyle w:val="Emphasis"/>
          <w:rFonts w:eastAsiaTheme="majorEastAsia"/>
          <w:i w:val="0"/>
          <w:iCs w:val="0"/>
          <w:color w:val="000000" w:themeColor="text1"/>
        </w:rPr>
        <w:t xml:space="preserve">against </w:t>
      </w:r>
      <w:r w:rsidR="005A3052" w:rsidRPr="0002418F">
        <w:rPr>
          <w:rStyle w:val="Emphasis"/>
          <w:rFonts w:eastAsiaTheme="majorEastAsia"/>
          <w:i w:val="0"/>
          <w:iCs w:val="0"/>
          <w:color w:val="000000" w:themeColor="text1"/>
        </w:rPr>
        <w:t xml:space="preserve">the actual impact of the project on service </w:t>
      </w:r>
      <w:r w:rsidR="003957FF" w:rsidRPr="0002418F">
        <w:rPr>
          <w:rStyle w:val="Emphasis"/>
          <w:rFonts w:eastAsiaTheme="majorEastAsia"/>
          <w:i w:val="0"/>
          <w:iCs w:val="0"/>
          <w:color w:val="000000" w:themeColor="text1"/>
        </w:rPr>
        <w:t>activities</w:t>
      </w:r>
      <w:r w:rsidR="005A3052" w:rsidRPr="0002418F">
        <w:rPr>
          <w:rStyle w:val="Emphasis"/>
          <w:rFonts w:eastAsiaTheme="majorEastAsia"/>
          <w:i w:val="0"/>
          <w:iCs w:val="0"/>
          <w:color w:val="000000" w:themeColor="text1"/>
        </w:rPr>
        <w:t>.</w:t>
      </w:r>
    </w:p>
    <w:p w:rsidR="001D4FC2" w:rsidRPr="0002418F" w:rsidRDefault="001D4FC2" w:rsidP="001D4FC2">
      <w:pPr>
        <w:pStyle w:val="Standardparagraph"/>
        <w:rPr>
          <w:color w:val="000000" w:themeColor="text1"/>
        </w:rPr>
      </w:pPr>
      <w:r w:rsidRPr="0002418F">
        <w:rPr>
          <w:color w:val="000000" w:themeColor="text1"/>
        </w:rPr>
        <w:t>The aim of this aspect of the evaluation is to review how successfully the operational change management plan was implemented, but also what lessons could be learnt to enhance similar change plans in the future.</w:t>
      </w:r>
    </w:p>
    <w:p w:rsidR="00725B6F" w:rsidRPr="0002418F" w:rsidRDefault="004D5132" w:rsidP="00725B6F">
      <w:pPr>
        <w:pStyle w:val="Heading3"/>
      </w:pPr>
      <w:r w:rsidRPr="0002418F">
        <w:t>S</w:t>
      </w:r>
      <w:r w:rsidR="00313F2B" w:rsidRPr="0002418F">
        <w:t xml:space="preserve">ervice </w:t>
      </w:r>
      <w:r w:rsidRPr="0002418F">
        <w:t>activity</w:t>
      </w:r>
      <w:r w:rsidR="00313F2B" w:rsidRPr="0002418F">
        <w:t xml:space="preserve"> and performance</w:t>
      </w:r>
      <w:r w:rsidR="00F164D5" w:rsidRPr="0002418F">
        <w:t xml:space="preserve"> </w:t>
      </w:r>
    </w:p>
    <w:p w:rsidR="00313F2B" w:rsidRPr="0002418F" w:rsidRDefault="00313F2B" w:rsidP="007050E5">
      <w:pPr>
        <w:pStyle w:val="Standardparagraph"/>
        <w:rPr>
          <w:color w:val="000000" w:themeColor="text1"/>
        </w:rPr>
      </w:pPr>
      <w:r w:rsidRPr="0002418F">
        <w:rPr>
          <w:color w:val="000000" w:themeColor="text1"/>
        </w:rPr>
        <w:t>P</w:t>
      </w:r>
      <w:r w:rsidR="00684C96" w:rsidRPr="0002418F">
        <w:rPr>
          <w:color w:val="000000" w:themeColor="text1"/>
        </w:rPr>
        <w:t xml:space="preserve">rojects with a direct impact on </w:t>
      </w:r>
      <w:r w:rsidR="004D5132" w:rsidRPr="0002418F">
        <w:rPr>
          <w:color w:val="000000" w:themeColor="text1"/>
        </w:rPr>
        <w:t xml:space="preserve">service delivery </w:t>
      </w:r>
      <w:r w:rsidRPr="0002418F">
        <w:rPr>
          <w:color w:val="000000" w:themeColor="text1"/>
        </w:rPr>
        <w:t xml:space="preserve">will need </w:t>
      </w:r>
      <w:r w:rsidR="00684C96" w:rsidRPr="0002418F">
        <w:rPr>
          <w:color w:val="000000" w:themeColor="text1"/>
        </w:rPr>
        <w:t xml:space="preserve">to demonstrate </w:t>
      </w:r>
      <w:r w:rsidRPr="0002418F">
        <w:rPr>
          <w:color w:val="000000" w:themeColor="text1"/>
        </w:rPr>
        <w:t xml:space="preserve">how well it </w:t>
      </w:r>
      <w:r w:rsidR="004D5132" w:rsidRPr="0002418F">
        <w:rPr>
          <w:color w:val="000000" w:themeColor="text1"/>
        </w:rPr>
        <w:t xml:space="preserve">has </w:t>
      </w:r>
      <w:r w:rsidRPr="0002418F">
        <w:rPr>
          <w:color w:val="000000" w:themeColor="text1"/>
        </w:rPr>
        <w:t>deliver</w:t>
      </w:r>
      <w:r w:rsidR="004D5132" w:rsidRPr="0002418F">
        <w:rPr>
          <w:color w:val="000000" w:themeColor="text1"/>
        </w:rPr>
        <w:t>ed against projected service activity and performance assumptions</w:t>
      </w:r>
      <w:r w:rsidR="003957FF" w:rsidRPr="0002418F">
        <w:rPr>
          <w:color w:val="000000" w:themeColor="text1"/>
        </w:rPr>
        <w:t xml:space="preserve"> included within the business case</w:t>
      </w:r>
      <w:r w:rsidR="004D5132" w:rsidRPr="0002418F">
        <w:rPr>
          <w:color w:val="000000" w:themeColor="text1"/>
        </w:rPr>
        <w:t xml:space="preserve">. </w:t>
      </w:r>
    </w:p>
    <w:p w:rsidR="007E0DCE" w:rsidRDefault="00313F2B" w:rsidP="007050E5">
      <w:pPr>
        <w:pStyle w:val="Standardparagraph"/>
      </w:pPr>
      <w:r>
        <w:t xml:space="preserve">The evaluation process </w:t>
      </w:r>
      <w:r w:rsidR="003D651C">
        <w:t xml:space="preserve">will compare </w:t>
      </w:r>
      <w:r w:rsidR="00F42967">
        <w:t>data</w:t>
      </w:r>
      <w:r w:rsidR="004744A4">
        <w:t xml:space="preserve"> on existing</w:t>
      </w:r>
      <w:r w:rsidR="00282391">
        <w:t xml:space="preserve">, proposed, and actual </w:t>
      </w:r>
      <w:r w:rsidR="004744A4">
        <w:t xml:space="preserve">service </w:t>
      </w:r>
      <w:r w:rsidR="003D651C">
        <w:t xml:space="preserve">activity and performance </w:t>
      </w:r>
      <w:r w:rsidR="004744A4">
        <w:t>associated with the project</w:t>
      </w:r>
      <w:r w:rsidR="003D651C">
        <w:t>.</w:t>
      </w:r>
      <w:r w:rsidR="004744A4">
        <w:t xml:space="preserve">  This may include information, where relevant, on:</w:t>
      </w:r>
    </w:p>
    <w:p w:rsidR="004744A4" w:rsidRDefault="001D4FC2" w:rsidP="004744A4">
      <w:pPr>
        <w:pStyle w:val="Standardbullet"/>
      </w:pPr>
      <w:r>
        <w:t>Changes to care pathways or</w:t>
      </w:r>
      <w:r w:rsidR="004744A4">
        <w:t xml:space="preserve"> patterns of working.</w:t>
      </w:r>
    </w:p>
    <w:p w:rsidR="001D4FC2" w:rsidRDefault="001D4FC2" w:rsidP="004744A4">
      <w:pPr>
        <w:pStyle w:val="Standardbullet"/>
      </w:pPr>
      <w:r>
        <w:t>Changes to s</w:t>
      </w:r>
      <w:r w:rsidR="004744A4">
        <w:t>ervice capacity</w:t>
      </w:r>
      <w:r>
        <w:t xml:space="preserve">, </w:t>
      </w:r>
      <w:r w:rsidR="004744A4">
        <w:t>demand and/or supply throughput.</w:t>
      </w:r>
      <w:r w:rsidRPr="001D4FC2">
        <w:t xml:space="preserve"> </w:t>
      </w:r>
    </w:p>
    <w:p w:rsidR="004744A4" w:rsidRDefault="001D4FC2" w:rsidP="004744A4">
      <w:pPr>
        <w:pStyle w:val="Standardbullet"/>
      </w:pPr>
      <w:r>
        <w:t>Service performance improvements, including reference to supporting KPI’s and targets.</w:t>
      </w:r>
    </w:p>
    <w:p w:rsidR="00313F2B" w:rsidRPr="0002418F" w:rsidRDefault="00313F2B" w:rsidP="00313F2B">
      <w:pPr>
        <w:pStyle w:val="Standardparagraph"/>
        <w:rPr>
          <w:color w:val="000000" w:themeColor="text1"/>
        </w:rPr>
      </w:pPr>
      <w:r w:rsidRPr="0002418F">
        <w:rPr>
          <w:color w:val="000000" w:themeColor="text1"/>
        </w:rPr>
        <w:t xml:space="preserve">The outcome of this element of the evaluation is to confirm </w:t>
      </w:r>
      <w:r w:rsidR="001D4FC2" w:rsidRPr="0002418F">
        <w:rPr>
          <w:color w:val="000000" w:themeColor="text1"/>
        </w:rPr>
        <w:t xml:space="preserve">the accuracy of service activity assumptions used within the project’s business case, and </w:t>
      </w:r>
      <w:r w:rsidRPr="0002418F">
        <w:rPr>
          <w:color w:val="000000" w:themeColor="text1"/>
        </w:rPr>
        <w:t>that the project has had a positive impact on service performance when compared with what would have happened from doing nothing.</w:t>
      </w:r>
    </w:p>
    <w:p w:rsidR="00C61B2A" w:rsidRDefault="00B31F84" w:rsidP="00C61B2A">
      <w:pPr>
        <w:pStyle w:val="Heading3"/>
      </w:pPr>
      <w:r>
        <w:t>The Service Benefits</w:t>
      </w:r>
      <w:r w:rsidR="00C61B2A">
        <w:t xml:space="preserve"> Evaluation Report</w:t>
      </w:r>
    </w:p>
    <w:p w:rsidR="00B31F84" w:rsidRPr="0002418F" w:rsidRDefault="00B31F84" w:rsidP="00F74D5B">
      <w:pPr>
        <w:pStyle w:val="Standardparagraph"/>
        <w:rPr>
          <w:color w:val="000000" w:themeColor="text1"/>
        </w:rPr>
      </w:pPr>
      <w:r w:rsidRPr="0002418F">
        <w:rPr>
          <w:color w:val="000000" w:themeColor="text1"/>
        </w:rPr>
        <w:t>The programme for submitting a Service Benefits</w:t>
      </w:r>
      <w:r w:rsidR="00F74D5B" w:rsidRPr="0002418F">
        <w:rPr>
          <w:color w:val="000000" w:themeColor="text1"/>
        </w:rPr>
        <w:t xml:space="preserve"> Evaluation Report </w:t>
      </w:r>
      <w:r w:rsidRPr="0002418F">
        <w:rPr>
          <w:color w:val="000000" w:themeColor="text1"/>
        </w:rPr>
        <w:t xml:space="preserve">to Scottish Government will be set out and delivered </w:t>
      </w:r>
      <w:r w:rsidR="003D651C" w:rsidRPr="0002418F">
        <w:rPr>
          <w:color w:val="000000" w:themeColor="text1"/>
        </w:rPr>
        <w:t xml:space="preserve">in accordance with the </w:t>
      </w:r>
      <w:r w:rsidR="003957FF" w:rsidRPr="0002418F">
        <w:rPr>
          <w:color w:val="000000" w:themeColor="text1"/>
        </w:rPr>
        <w:t>Full Monitoring and Evaluation P</w:t>
      </w:r>
      <w:r w:rsidRPr="0002418F">
        <w:rPr>
          <w:color w:val="000000" w:themeColor="text1"/>
        </w:rPr>
        <w:t>lan</w:t>
      </w:r>
      <w:r w:rsidR="003957FF" w:rsidRPr="0002418F">
        <w:rPr>
          <w:color w:val="000000" w:themeColor="text1"/>
        </w:rPr>
        <w:t xml:space="preserve"> included within the FBC</w:t>
      </w:r>
      <w:r w:rsidRPr="0002418F">
        <w:rPr>
          <w:color w:val="000000" w:themeColor="text1"/>
        </w:rPr>
        <w:t>.</w:t>
      </w:r>
      <w:r w:rsidR="0002418F">
        <w:rPr>
          <w:color w:val="000000" w:themeColor="text1"/>
        </w:rPr>
        <w:t xml:space="preserve">  This will normally be within 1.5 to 3 years of the project completion date.</w:t>
      </w:r>
    </w:p>
    <w:p w:rsidR="00F74D5B" w:rsidRDefault="004D5132" w:rsidP="00F74D5B">
      <w:pPr>
        <w:pStyle w:val="Standardparagraph"/>
      </w:pPr>
      <w:r>
        <w:t>The report is expected to</w:t>
      </w:r>
      <w:r w:rsidR="00F74D5B">
        <w:t xml:space="preserve"> include the following information:</w:t>
      </w:r>
    </w:p>
    <w:p w:rsidR="00F74D5B" w:rsidRDefault="00F74D5B" w:rsidP="00F74D5B">
      <w:pPr>
        <w:pStyle w:val="Standardbullet"/>
      </w:pPr>
      <w:r>
        <w:t>A short overview of the evaluation process carried out.</w:t>
      </w:r>
    </w:p>
    <w:p w:rsidR="00F74D5B" w:rsidRDefault="00F74D5B" w:rsidP="00F74D5B">
      <w:pPr>
        <w:pStyle w:val="Standardbullet"/>
      </w:pPr>
      <w:r>
        <w:lastRenderedPageBreak/>
        <w:t>Details of the stakeholders involved in each exercise, and when.</w:t>
      </w:r>
    </w:p>
    <w:p w:rsidR="00F74D5B" w:rsidRDefault="00F74D5B" w:rsidP="00F74D5B">
      <w:pPr>
        <w:pStyle w:val="Standardbullet"/>
      </w:pPr>
      <w:r>
        <w:t>An explanation of how successful the project has been in realising its expected benefits, whilst also acknowledging and explaining the reasons behind why any benefits didn’t achieve their expected outcome.</w:t>
      </w:r>
    </w:p>
    <w:p w:rsidR="00F74D5B" w:rsidRDefault="00F74D5B" w:rsidP="00430DD6">
      <w:pPr>
        <w:pStyle w:val="Standardbullet"/>
      </w:pPr>
      <w:r>
        <w:t xml:space="preserve">A summary of user and stakeholder opinion </w:t>
      </w:r>
      <w:r w:rsidR="00430DD6">
        <w:t xml:space="preserve">on </w:t>
      </w:r>
      <w:r>
        <w:t>how well the facility meets their expectations</w:t>
      </w:r>
      <w:r w:rsidR="00430DD6">
        <w:t xml:space="preserve">, </w:t>
      </w:r>
      <w:r>
        <w:t>what could have been done better, what alterations still need to be made, and what</w:t>
      </w:r>
      <w:r w:rsidR="0002418F">
        <w:t xml:space="preserve"> further</w:t>
      </w:r>
      <w:r>
        <w:t xml:space="preserve"> improvements could be made</w:t>
      </w:r>
      <w:r w:rsidR="0002418F">
        <w:t>.</w:t>
      </w:r>
      <w:r>
        <w:t xml:space="preserve"> </w:t>
      </w:r>
    </w:p>
    <w:p w:rsidR="00CF1FED" w:rsidRDefault="003D651C" w:rsidP="003D651C">
      <w:pPr>
        <w:pStyle w:val="Standardbullet"/>
        <w:rPr>
          <w:color w:val="000000" w:themeColor="text1"/>
        </w:rPr>
      </w:pPr>
      <w:r w:rsidRPr="0002418F">
        <w:rPr>
          <w:color w:val="000000" w:themeColor="text1"/>
        </w:rPr>
        <w:t xml:space="preserve">An overview of </w:t>
      </w:r>
      <w:r w:rsidR="0002418F">
        <w:rPr>
          <w:color w:val="000000" w:themeColor="text1"/>
        </w:rPr>
        <w:t xml:space="preserve">the lessons to be learnt and shared in </w:t>
      </w:r>
      <w:r w:rsidR="00CF1FED">
        <w:rPr>
          <w:color w:val="000000" w:themeColor="text1"/>
        </w:rPr>
        <w:t xml:space="preserve">relation to implementing </w:t>
      </w:r>
      <w:r w:rsidR="0002418F">
        <w:rPr>
          <w:color w:val="000000" w:themeColor="text1"/>
        </w:rPr>
        <w:t xml:space="preserve">the </w:t>
      </w:r>
      <w:r w:rsidRPr="0002418F">
        <w:rPr>
          <w:color w:val="000000" w:themeColor="text1"/>
        </w:rPr>
        <w:t>operational change management plan</w:t>
      </w:r>
      <w:r w:rsidR="00CF1FED">
        <w:rPr>
          <w:color w:val="000000" w:themeColor="text1"/>
        </w:rPr>
        <w:t>.</w:t>
      </w:r>
    </w:p>
    <w:p w:rsidR="003D651C" w:rsidRPr="0002418F" w:rsidRDefault="003D651C" w:rsidP="00430DD6">
      <w:pPr>
        <w:pStyle w:val="Standardbullet"/>
        <w:rPr>
          <w:color w:val="000000" w:themeColor="text1"/>
        </w:rPr>
      </w:pPr>
      <w:r w:rsidRPr="0002418F">
        <w:rPr>
          <w:color w:val="000000" w:themeColor="text1"/>
        </w:rPr>
        <w:t xml:space="preserve">Comparative data and analysis of existing, proposed, and actual service activity and performance outcomes.  </w:t>
      </w:r>
    </w:p>
    <w:p w:rsidR="004C76CB" w:rsidRDefault="004C76CB" w:rsidP="00C61B2A">
      <w:pPr>
        <w:pStyle w:val="Standardparagraph"/>
      </w:pPr>
      <w:r>
        <w:t>The concluding part of the Project Evaluation Report should reflect on the main things that went well, as well as what could have been improved, so that lessons can be learnt for future projects.  This is described further in the following section.</w:t>
      </w:r>
    </w:p>
    <w:p w:rsidR="007E0DCE" w:rsidRDefault="00E120A0" w:rsidP="007050E5">
      <w:pPr>
        <w:pStyle w:val="Heading2"/>
      </w:pPr>
      <w:r>
        <w:t>Learning – what lessons can be learnt?</w:t>
      </w:r>
    </w:p>
    <w:p w:rsidR="007E0DCE" w:rsidRDefault="00D4070B" w:rsidP="007050E5">
      <w:pPr>
        <w:pStyle w:val="StandardParagrpah"/>
      </w:pPr>
      <w:r>
        <w:t>The potential value of a</w:t>
      </w:r>
      <w:r w:rsidR="00111E3B">
        <w:t xml:space="preserve"> monitoring and evaluation </w:t>
      </w:r>
      <w:r w:rsidR="004C76CB">
        <w:t xml:space="preserve">process </w:t>
      </w:r>
      <w:r>
        <w:t>will only be realised when action is taken on the findin</w:t>
      </w:r>
      <w:r w:rsidR="00E120A0">
        <w:t>gs and recommendations coming</w:t>
      </w:r>
      <w:r>
        <w:t xml:space="preserve"> from it.  </w:t>
      </w:r>
      <w:r w:rsidR="00CF1FED">
        <w:t>The</w:t>
      </w:r>
      <w:r w:rsidR="00946047">
        <w:t xml:space="preserve"> final stage in th</w:t>
      </w:r>
      <w:r w:rsidR="00111E3B">
        <w:t xml:space="preserve">is </w:t>
      </w:r>
      <w:r w:rsidR="00946047">
        <w:t xml:space="preserve">process </w:t>
      </w:r>
      <w:r>
        <w:t xml:space="preserve">should therefore bring to the fore the lessons to be learnt for future projects both within the organisation carrying out the evaluation </w:t>
      </w:r>
      <w:r w:rsidR="006D6CE2">
        <w:t xml:space="preserve">and for the wider benefits of </w:t>
      </w:r>
      <w:proofErr w:type="spellStart"/>
      <w:r w:rsidR="006D6CE2">
        <w:t>NHSScotland</w:t>
      </w:r>
      <w:proofErr w:type="spellEnd"/>
      <w:r w:rsidR="006D6CE2">
        <w:t>.</w:t>
      </w:r>
      <w:r w:rsidR="00CF1FED">
        <w:t xml:space="preserve">  </w:t>
      </w:r>
      <w:r w:rsidR="006D6CE2">
        <w:t>This should form the final concluding part of t</w:t>
      </w:r>
      <w:r w:rsidR="00C805CE">
        <w:t xml:space="preserve">he </w:t>
      </w:r>
      <w:r w:rsidR="00111E3B">
        <w:t xml:space="preserve">Service Benefits </w:t>
      </w:r>
      <w:r w:rsidR="00C805CE">
        <w:t>Evaluation R</w:t>
      </w:r>
      <w:r w:rsidR="00A27D45">
        <w:t>eport by</w:t>
      </w:r>
      <w:r w:rsidR="006D6CE2">
        <w:t xml:space="preserve"> includ</w:t>
      </w:r>
      <w:r w:rsidR="00A27D45">
        <w:t>ing</w:t>
      </w:r>
      <w:r w:rsidR="006D6CE2">
        <w:t xml:space="preserve"> the following information:</w:t>
      </w:r>
    </w:p>
    <w:p w:rsidR="007E0DCE" w:rsidRDefault="006D6CE2" w:rsidP="007050E5">
      <w:pPr>
        <w:pStyle w:val="Standardbullet"/>
      </w:pPr>
      <w:r>
        <w:t>A s</w:t>
      </w:r>
      <w:r w:rsidR="00C62732">
        <w:t>ummary</w:t>
      </w:r>
      <w:r w:rsidR="00111E3B">
        <w:t xml:space="preserve"> from the</w:t>
      </w:r>
      <w:r>
        <w:t xml:space="preserve"> evaluation information</w:t>
      </w:r>
      <w:r w:rsidR="00C62732">
        <w:t xml:space="preserve"> of what went well and why</w:t>
      </w:r>
      <w:r>
        <w:t>.</w:t>
      </w:r>
    </w:p>
    <w:p w:rsidR="007E0DCE" w:rsidRDefault="006D6CE2" w:rsidP="007050E5">
      <w:pPr>
        <w:pStyle w:val="Standardbullet"/>
      </w:pPr>
      <w:r>
        <w:t>A s</w:t>
      </w:r>
      <w:r w:rsidR="00C62732">
        <w:t>ummary of what could be improved upon</w:t>
      </w:r>
      <w:r>
        <w:t xml:space="preserve"> gained from an overview of the </w:t>
      </w:r>
      <w:r w:rsidR="00111E3B">
        <w:t xml:space="preserve">evaluation </w:t>
      </w:r>
      <w:r>
        <w:t xml:space="preserve">results as well as from recommendations raised in any </w:t>
      </w:r>
      <w:r w:rsidR="00A37F84">
        <w:t>feedback process.</w:t>
      </w:r>
    </w:p>
    <w:p w:rsidR="007E0DCE" w:rsidRDefault="006D6CE2" w:rsidP="007050E5">
      <w:pPr>
        <w:pStyle w:val="Standardbullet"/>
      </w:pPr>
      <w:r>
        <w:t>An a</w:t>
      </w:r>
      <w:r w:rsidR="00C62732">
        <w:t xml:space="preserve">ction plan for disseminating these lessons learnt within </w:t>
      </w:r>
      <w:r>
        <w:t xml:space="preserve">the </w:t>
      </w:r>
      <w:r w:rsidR="00C62732">
        <w:t xml:space="preserve">NHS Board and </w:t>
      </w:r>
      <w:r w:rsidR="00111E3B">
        <w:t xml:space="preserve">across the </w:t>
      </w:r>
      <w:r w:rsidR="00C62732">
        <w:t xml:space="preserve">wider </w:t>
      </w:r>
      <w:proofErr w:type="spellStart"/>
      <w:r w:rsidR="00C62732">
        <w:t>NHSScotland</w:t>
      </w:r>
      <w:proofErr w:type="spellEnd"/>
      <w:r>
        <w:t xml:space="preserve">.  The annual State of </w:t>
      </w:r>
      <w:proofErr w:type="spellStart"/>
      <w:r>
        <w:t>NHSScotland</w:t>
      </w:r>
      <w:proofErr w:type="spellEnd"/>
      <w:r>
        <w:t xml:space="preserve"> Assets &amp; Facilities Report can be used to report on any best practice recommendations.</w:t>
      </w:r>
    </w:p>
    <w:p w:rsidR="004B6392" w:rsidRPr="00CF1FED" w:rsidRDefault="00E250B5" w:rsidP="00E250B5">
      <w:pPr>
        <w:pStyle w:val="Heading1"/>
      </w:pPr>
      <w:r w:rsidRPr="00CF1FED">
        <w:lastRenderedPageBreak/>
        <w:t>Summary of Monitoring &amp; Evaluation Output Requirements</w:t>
      </w:r>
    </w:p>
    <w:p w:rsidR="00E250B5" w:rsidRPr="00CF1FED" w:rsidRDefault="00E250B5" w:rsidP="00E250B5">
      <w:pPr>
        <w:pStyle w:val="Standardparagraph"/>
        <w:rPr>
          <w:color w:val="000000" w:themeColor="text1"/>
        </w:rPr>
      </w:pPr>
      <w:r w:rsidRPr="00CF1FED">
        <w:rPr>
          <w:color w:val="000000" w:themeColor="text1"/>
        </w:rPr>
        <w:t>The requirements for monitoring, evaluating, and learning from all capital and major investment projects are out</w:t>
      </w:r>
      <w:r w:rsidR="00AB7E4D">
        <w:rPr>
          <w:color w:val="000000" w:themeColor="text1"/>
        </w:rPr>
        <w:t xml:space="preserve">lined </w:t>
      </w:r>
      <w:r w:rsidR="00427066">
        <w:rPr>
          <w:color w:val="000000" w:themeColor="text1"/>
        </w:rPr>
        <w:t>within Section 1.3</w:t>
      </w:r>
      <w:r w:rsidRPr="00CF1FED">
        <w:rPr>
          <w:color w:val="000000" w:themeColor="text1"/>
        </w:rPr>
        <w:t>.</w:t>
      </w:r>
    </w:p>
    <w:p w:rsidR="00E250B5" w:rsidRPr="00CF1FED" w:rsidRDefault="00E250B5" w:rsidP="00E250B5">
      <w:pPr>
        <w:pStyle w:val="Standardparagraph"/>
        <w:rPr>
          <w:color w:val="000000" w:themeColor="text1"/>
        </w:rPr>
      </w:pPr>
      <w:r w:rsidRPr="00CF1FED">
        <w:rPr>
          <w:color w:val="000000" w:themeColor="text1"/>
        </w:rPr>
        <w:t xml:space="preserve">Planning and reporting requirements </w:t>
      </w:r>
      <w:r w:rsidR="00861407" w:rsidRPr="00CF1FED">
        <w:rPr>
          <w:color w:val="000000" w:themeColor="text1"/>
        </w:rPr>
        <w:t xml:space="preserve">described in this guidance </w:t>
      </w:r>
      <w:r w:rsidRPr="00CF1FED">
        <w:rPr>
          <w:color w:val="000000" w:themeColor="text1"/>
        </w:rPr>
        <w:t>include:</w:t>
      </w:r>
    </w:p>
    <w:p w:rsidR="00E250B5" w:rsidRPr="00CF1FED" w:rsidRDefault="00E250B5" w:rsidP="00E250B5">
      <w:pPr>
        <w:pStyle w:val="Standardbullet"/>
        <w:rPr>
          <w:color w:val="000000" w:themeColor="text1"/>
        </w:rPr>
      </w:pPr>
      <w:r w:rsidRPr="00CF1FED">
        <w:rPr>
          <w:color w:val="000000" w:themeColor="text1"/>
        </w:rPr>
        <w:t>An Outline Monitoring &amp; Evaluation Plan is required at Outline Business Case</w:t>
      </w:r>
      <w:r w:rsidR="00861407" w:rsidRPr="00CF1FED">
        <w:rPr>
          <w:color w:val="000000" w:themeColor="text1"/>
        </w:rPr>
        <w:t xml:space="preserve"> (OBC)</w:t>
      </w:r>
      <w:r w:rsidRPr="00CF1FED">
        <w:rPr>
          <w:color w:val="000000" w:themeColor="text1"/>
        </w:rPr>
        <w:t xml:space="preserve"> stage</w:t>
      </w:r>
      <w:r w:rsidR="00861407" w:rsidRPr="00CF1FED">
        <w:rPr>
          <w:color w:val="000000" w:themeColor="text1"/>
        </w:rPr>
        <w:t xml:space="preserve"> (see Section 2.1.1 for further details)</w:t>
      </w:r>
      <w:r w:rsidRPr="00CF1FED">
        <w:rPr>
          <w:color w:val="000000" w:themeColor="text1"/>
        </w:rPr>
        <w:t>.</w:t>
      </w:r>
    </w:p>
    <w:p w:rsidR="00861407" w:rsidRPr="00CF1FED" w:rsidRDefault="00861407" w:rsidP="00E250B5">
      <w:pPr>
        <w:pStyle w:val="Standardbullet"/>
        <w:rPr>
          <w:color w:val="000000" w:themeColor="text1"/>
        </w:rPr>
      </w:pPr>
      <w:r w:rsidRPr="00CF1FED">
        <w:rPr>
          <w:color w:val="000000" w:themeColor="text1"/>
        </w:rPr>
        <w:t>A Full Monitoring &amp; Evaluation Plan is required at Full Business Case (FBC) stage (see Section 2.1.2 for further details).</w:t>
      </w:r>
    </w:p>
    <w:p w:rsidR="00861407" w:rsidRPr="00CF1FED" w:rsidRDefault="00861407" w:rsidP="00E250B5">
      <w:pPr>
        <w:pStyle w:val="Standardbullet"/>
        <w:rPr>
          <w:color w:val="000000" w:themeColor="text1"/>
        </w:rPr>
      </w:pPr>
      <w:r w:rsidRPr="00CF1FED">
        <w:rPr>
          <w:color w:val="000000" w:themeColor="text1"/>
        </w:rPr>
        <w:t>A Project Monitoring Report (Section 2.2.7) is required within the Management Case of the FBC, and then a further update provided shortly after project completion.</w:t>
      </w:r>
    </w:p>
    <w:p w:rsidR="00861407" w:rsidRPr="00CF1FED" w:rsidRDefault="00861407" w:rsidP="00E250B5">
      <w:pPr>
        <w:pStyle w:val="Standardbullet"/>
        <w:rPr>
          <w:color w:val="000000" w:themeColor="text1"/>
        </w:rPr>
      </w:pPr>
      <w:r w:rsidRPr="00CF1FED">
        <w:rPr>
          <w:color w:val="000000" w:themeColor="text1"/>
        </w:rPr>
        <w:t>A Service Benefits Evaluation Report (Section 2.3.5) is required at a suitable post-occupancy point as determined within the Full Monitoring &amp; Evaluation Plan.  This will include a summary of lessons learnt (Section 2.4).</w:t>
      </w:r>
    </w:p>
    <w:p w:rsidR="00861407" w:rsidRPr="00CF1FED" w:rsidRDefault="00861407" w:rsidP="00861407">
      <w:pPr>
        <w:pStyle w:val="Standardparagraph"/>
        <w:rPr>
          <w:color w:val="000000" w:themeColor="text1"/>
        </w:rPr>
      </w:pPr>
      <w:r w:rsidRPr="00CF1FED">
        <w:rPr>
          <w:color w:val="000000" w:themeColor="text1"/>
        </w:rPr>
        <w:t>The content and expectations of these reports is described throughout this guidance document.</w:t>
      </w:r>
    </w:p>
    <w:p w:rsidR="00E250B5" w:rsidRDefault="00E250B5" w:rsidP="00E250B5">
      <w:pPr>
        <w:pStyle w:val="Standardparagraph"/>
      </w:pPr>
    </w:p>
    <w:p w:rsidR="004B6392" w:rsidRDefault="004B6392" w:rsidP="004B6392">
      <w:pPr>
        <w:pStyle w:val="Standardparagraph"/>
      </w:pPr>
    </w:p>
    <w:p w:rsidR="004B6392" w:rsidRDefault="004B6392" w:rsidP="004B6392">
      <w:pPr>
        <w:pStyle w:val="Standardparagraph"/>
        <w:sectPr w:rsidR="004B6392" w:rsidSect="004305FE">
          <w:headerReference w:type="default" r:id="rId19"/>
          <w:footerReference w:type="default" r:id="rId20"/>
          <w:pgSz w:w="11906" w:h="16838"/>
          <w:pgMar w:top="1588" w:right="1440" w:bottom="1440" w:left="1440" w:header="709" w:footer="709" w:gutter="0"/>
          <w:pgNumType w:start="1"/>
          <w:cols w:space="708"/>
          <w:docGrid w:linePitch="360"/>
        </w:sectPr>
      </w:pPr>
    </w:p>
    <w:p w:rsidR="0082597E" w:rsidRDefault="0082597E" w:rsidP="004B6392">
      <w:pPr>
        <w:pStyle w:val="AppendixTitle"/>
      </w:pPr>
    </w:p>
    <w:p w:rsidR="00586FC2" w:rsidRDefault="00586FC2" w:rsidP="00586FC2">
      <w:pPr>
        <w:pStyle w:val="AppendixTitle"/>
        <w:jc w:val="center"/>
      </w:pPr>
      <w:r>
        <w:t>Appendix A</w:t>
      </w:r>
    </w:p>
    <w:p w:rsidR="00901478" w:rsidRDefault="00901478" w:rsidP="00586FC2">
      <w:pPr>
        <w:pStyle w:val="AppendixTitle"/>
        <w:jc w:val="center"/>
      </w:pPr>
    </w:p>
    <w:p w:rsidR="004B2272" w:rsidRDefault="00946047" w:rsidP="004B2272">
      <w:pPr>
        <w:pStyle w:val="AppendixTitle"/>
        <w:spacing w:after="0"/>
        <w:jc w:val="center"/>
      </w:pPr>
      <w:r>
        <w:t xml:space="preserve">Outline </w:t>
      </w:r>
      <w:r w:rsidR="004B2272">
        <w:t xml:space="preserve">Monitoring &amp; </w:t>
      </w:r>
    </w:p>
    <w:p w:rsidR="00111E3B" w:rsidRDefault="004B2272" w:rsidP="004B2272">
      <w:pPr>
        <w:pStyle w:val="AppendixTitle"/>
        <w:spacing w:after="0"/>
        <w:jc w:val="center"/>
      </w:pPr>
      <w:r>
        <w:t>Evaluation Plan</w:t>
      </w:r>
    </w:p>
    <w:p w:rsidR="00586FC2" w:rsidRDefault="00586FC2" w:rsidP="00586FC2">
      <w:pPr>
        <w:pStyle w:val="AppendixTitle"/>
        <w:jc w:val="center"/>
      </w:pPr>
    </w:p>
    <w:p w:rsidR="008A0918" w:rsidRDefault="008A0918">
      <w:pPr>
        <w:rPr>
          <w:rFonts w:ascii="Arial" w:eastAsia="Times New Roman" w:hAnsi="Arial" w:cs="Times New Roman"/>
          <w:sz w:val="24"/>
          <w:szCs w:val="20"/>
        </w:rPr>
      </w:pPr>
      <w:r>
        <w:br w:type="page"/>
      </w:r>
    </w:p>
    <w:p w:rsidR="008A0918" w:rsidRDefault="008A0918" w:rsidP="008A0918">
      <w:pPr>
        <w:pStyle w:val="Standardparagraph"/>
        <w:rPr>
          <w:b/>
        </w:rPr>
      </w:pPr>
      <w:r w:rsidRPr="008A0918">
        <w:rPr>
          <w:b/>
        </w:rPr>
        <w:lastRenderedPageBreak/>
        <w:t xml:space="preserve">Outline </w:t>
      </w:r>
      <w:r w:rsidR="004B2272">
        <w:rPr>
          <w:b/>
        </w:rPr>
        <w:t>Monitoring &amp; Evaluation Plan</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026"/>
        <w:gridCol w:w="1665"/>
        <w:gridCol w:w="1531"/>
        <w:gridCol w:w="3020"/>
      </w:tblGrid>
      <w:tr w:rsidR="00D34632" w:rsidRPr="008A0918" w:rsidTr="00D34632">
        <w:tc>
          <w:tcPr>
            <w:tcW w:w="3026" w:type="dxa"/>
            <w:vMerge w:val="restart"/>
            <w:shd w:val="clear" w:color="auto" w:fill="31849B" w:themeFill="accent5" w:themeFillShade="BF"/>
            <w:vAlign w:val="center"/>
          </w:tcPr>
          <w:p w:rsidR="00D34632" w:rsidRPr="008A0918" w:rsidRDefault="00901478" w:rsidP="00946047">
            <w:pPr>
              <w:pStyle w:val="Standardparatable"/>
              <w:ind w:right="0"/>
              <w:jc w:val="center"/>
              <w:rPr>
                <w:b/>
                <w:color w:val="FFFFFF" w:themeColor="background1"/>
              </w:rPr>
            </w:pPr>
            <w:r>
              <w:rPr>
                <w:b/>
                <w:color w:val="FFFFFF" w:themeColor="background1"/>
              </w:rPr>
              <w:br w:type="page"/>
              <w:t>What will be assessed</w:t>
            </w:r>
            <w:r w:rsidR="00D34632" w:rsidRPr="008A0918">
              <w:rPr>
                <w:b/>
                <w:color w:val="FFFFFF" w:themeColor="background1"/>
              </w:rPr>
              <w:t>:</w:t>
            </w:r>
          </w:p>
        </w:tc>
        <w:tc>
          <w:tcPr>
            <w:tcW w:w="3196" w:type="dxa"/>
            <w:gridSpan w:val="2"/>
            <w:shd w:val="clear" w:color="auto" w:fill="31849B" w:themeFill="accent5" w:themeFillShade="BF"/>
            <w:vAlign w:val="center"/>
          </w:tcPr>
          <w:p w:rsidR="00D34632" w:rsidRPr="008A0918" w:rsidRDefault="00901478" w:rsidP="008A0918">
            <w:pPr>
              <w:pStyle w:val="Standardparatable"/>
              <w:jc w:val="center"/>
              <w:rPr>
                <w:b/>
                <w:color w:val="FFFFFF" w:themeColor="background1"/>
              </w:rPr>
            </w:pPr>
            <w:r>
              <w:rPr>
                <w:b/>
                <w:color w:val="FFFFFF" w:themeColor="background1"/>
              </w:rPr>
              <w:t>When it will be carried out</w:t>
            </w:r>
          </w:p>
        </w:tc>
        <w:tc>
          <w:tcPr>
            <w:tcW w:w="3020" w:type="dxa"/>
            <w:vMerge w:val="restart"/>
            <w:shd w:val="clear" w:color="auto" w:fill="31849B" w:themeFill="accent5" w:themeFillShade="BF"/>
            <w:vAlign w:val="center"/>
          </w:tcPr>
          <w:p w:rsidR="00D34632" w:rsidRPr="008A0918" w:rsidRDefault="00D34632" w:rsidP="00946047">
            <w:pPr>
              <w:pStyle w:val="Standardparatable"/>
              <w:ind w:right="0"/>
              <w:jc w:val="center"/>
              <w:rPr>
                <w:b/>
                <w:color w:val="FFFFFF" w:themeColor="background1"/>
              </w:rPr>
            </w:pPr>
            <w:r w:rsidRPr="008A0918">
              <w:rPr>
                <w:b/>
                <w:color w:val="FFFFFF" w:themeColor="background1"/>
              </w:rPr>
              <w:t>How it will be done (approach)</w:t>
            </w:r>
          </w:p>
        </w:tc>
      </w:tr>
      <w:tr w:rsidR="00D34632" w:rsidRPr="008A0918" w:rsidTr="00D34632">
        <w:tc>
          <w:tcPr>
            <w:tcW w:w="3026" w:type="dxa"/>
            <w:vMerge/>
            <w:shd w:val="clear" w:color="auto" w:fill="31849B" w:themeFill="accent5" w:themeFillShade="BF"/>
            <w:vAlign w:val="center"/>
          </w:tcPr>
          <w:p w:rsidR="00D34632" w:rsidRPr="00D34632" w:rsidRDefault="00D34632" w:rsidP="008A0918">
            <w:pPr>
              <w:pStyle w:val="Standardparatable"/>
              <w:jc w:val="center"/>
              <w:rPr>
                <w:b/>
                <w:color w:val="FFFFFF" w:themeColor="background1"/>
                <w:sz w:val="16"/>
                <w:szCs w:val="16"/>
              </w:rPr>
            </w:pPr>
          </w:p>
        </w:tc>
        <w:tc>
          <w:tcPr>
            <w:tcW w:w="1665" w:type="dxa"/>
            <w:shd w:val="clear" w:color="auto" w:fill="31849B" w:themeFill="accent5" w:themeFillShade="BF"/>
            <w:vAlign w:val="center"/>
          </w:tcPr>
          <w:p w:rsidR="00D34632" w:rsidRPr="00D34632" w:rsidRDefault="00901478" w:rsidP="00946047">
            <w:pPr>
              <w:pStyle w:val="Standardparatable"/>
              <w:ind w:right="0"/>
              <w:jc w:val="center"/>
              <w:rPr>
                <w:b/>
                <w:color w:val="FFFFFF" w:themeColor="background1"/>
                <w:sz w:val="16"/>
                <w:szCs w:val="16"/>
              </w:rPr>
            </w:pPr>
            <w:r>
              <w:rPr>
                <w:b/>
                <w:color w:val="FFFFFF" w:themeColor="background1"/>
                <w:sz w:val="16"/>
                <w:szCs w:val="16"/>
              </w:rPr>
              <w:t>Milestone Date</w:t>
            </w:r>
          </w:p>
        </w:tc>
        <w:tc>
          <w:tcPr>
            <w:tcW w:w="1531" w:type="dxa"/>
            <w:shd w:val="clear" w:color="auto" w:fill="31849B" w:themeFill="accent5" w:themeFillShade="BF"/>
            <w:vAlign w:val="center"/>
          </w:tcPr>
          <w:p w:rsidR="00D34632" w:rsidRPr="00D34632" w:rsidRDefault="00D34632" w:rsidP="00946047">
            <w:pPr>
              <w:pStyle w:val="Standardparatable"/>
              <w:ind w:right="0"/>
              <w:jc w:val="center"/>
              <w:rPr>
                <w:b/>
                <w:color w:val="FFFFFF" w:themeColor="background1"/>
                <w:sz w:val="16"/>
                <w:szCs w:val="16"/>
              </w:rPr>
            </w:pPr>
            <w:r>
              <w:rPr>
                <w:b/>
                <w:color w:val="FFFFFF" w:themeColor="background1"/>
                <w:sz w:val="16"/>
                <w:szCs w:val="16"/>
              </w:rPr>
              <w:t>Report submission</w:t>
            </w:r>
          </w:p>
        </w:tc>
        <w:tc>
          <w:tcPr>
            <w:tcW w:w="3020" w:type="dxa"/>
            <w:vMerge/>
            <w:shd w:val="clear" w:color="auto" w:fill="31849B" w:themeFill="accent5" w:themeFillShade="BF"/>
            <w:vAlign w:val="center"/>
          </w:tcPr>
          <w:p w:rsidR="00D34632" w:rsidRPr="00D34632" w:rsidRDefault="00D34632" w:rsidP="008A0918">
            <w:pPr>
              <w:pStyle w:val="Standardparatable"/>
              <w:jc w:val="center"/>
              <w:rPr>
                <w:b/>
                <w:color w:val="FFFFFF" w:themeColor="background1"/>
                <w:sz w:val="16"/>
                <w:szCs w:val="16"/>
              </w:rPr>
            </w:pPr>
          </w:p>
        </w:tc>
      </w:tr>
      <w:tr w:rsidR="00D34632" w:rsidTr="00D34632">
        <w:tc>
          <w:tcPr>
            <w:tcW w:w="9242" w:type="dxa"/>
            <w:gridSpan w:val="4"/>
            <w:shd w:val="clear" w:color="auto" w:fill="92CDDC" w:themeFill="accent5" w:themeFillTint="99"/>
          </w:tcPr>
          <w:p w:rsidR="00D34632" w:rsidRDefault="00901478" w:rsidP="008A0918">
            <w:pPr>
              <w:pStyle w:val="Standardparatable"/>
            </w:pPr>
            <w:r>
              <w:rPr>
                <w:b/>
              </w:rPr>
              <w:t xml:space="preserve">Project </w:t>
            </w:r>
            <w:r w:rsidR="00111E3B">
              <w:rPr>
                <w:b/>
              </w:rPr>
              <w:t>Monitoring s</w:t>
            </w:r>
            <w:r w:rsidR="00D34632" w:rsidRPr="008A0918">
              <w:rPr>
                <w:b/>
              </w:rPr>
              <w:t>tage:</w:t>
            </w:r>
          </w:p>
        </w:tc>
      </w:tr>
      <w:tr w:rsidR="00D34632" w:rsidTr="00E033A4">
        <w:tc>
          <w:tcPr>
            <w:tcW w:w="3026" w:type="dxa"/>
            <w:vAlign w:val="center"/>
          </w:tcPr>
          <w:p w:rsidR="00AB191A" w:rsidRPr="00E033A4" w:rsidRDefault="00E04955" w:rsidP="00E04955">
            <w:pPr>
              <w:pStyle w:val="Standardparatable"/>
              <w:ind w:right="0"/>
              <w:rPr>
                <w:sz w:val="22"/>
                <w:szCs w:val="22"/>
              </w:rPr>
            </w:pPr>
            <w:r>
              <w:rPr>
                <w:sz w:val="22"/>
                <w:szCs w:val="22"/>
              </w:rPr>
              <w:t>Project Costs</w:t>
            </w:r>
            <w:r w:rsidR="00AB191A" w:rsidRPr="00E033A4">
              <w:rPr>
                <w:sz w:val="22"/>
                <w:szCs w:val="22"/>
              </w:rPr>
              <w:t xml:space="preserve"> </w:t>
            </w:r>
          </w:p>
        </w:tc>
        <w:tc>
          <w:tcPr>
            <w:tcW w:w="1665" w:type="dxa"/>
            <w:shd w:val="clear" w:color="auto" w:fill="auto"/>
            <w:vAlign w:val="center"/>
          </w:tcPr>
          <w:p w:rsidR="00D34632" w:rsidRPr="00F42967" w:rsidRDefault="00D34632" w:rsidP="00946047">
            <w:pPr>
              <w:pStyle w:val="Standardparatable"/>
              <w:ind w:right="0"/>
              <w:jc w:val="center"/>
              <w:rPr>
                <w:sz w:val="20"/>
                <w:szCs w:val="20"/>
              </w:rPr>
            </w:pPr>
          </w:p>
        </w:tc>
        <w:tc>
          <w:tcPr>
            <w:tcW w:w="1531" w:type="dxa"/>
            <w:shd w:val="clear" w:color="auto" w:fill="auto"/>
            <w:vAlign w:val="center"/>
          </w:tcPr>
          <w:p w:rsidR="00D34632" w:rsidRPr="00F42967" w:rsidRDefault="00D34632" w:rsidP="00946047">
            <w:pPr>
              <w:pStyle w:val="Standardparatable"/>
              <w:ind w:right="0"/>
              <w:jc w:val="center"/>
              <w:rPr>
                <w:sz w:val="20"/>
                <w:szCs w:val="20"/>
              </w:rPr>
            </w:pPr>
          </w:p>
        </w:tc>
        <w:tc>
          <w:tcPr>
            <w:tcW w:w="3020" w:type="dxa"/>
            <w:vAlign w:val="center"/>
          </w:tcPr>
          <w:p w:rsidR="00D34632" w:rsidRPr="00E033A4" w:rsidRDefault="00D34632" w:rsidP="00946047">
            <w:pPr>
              <w:pStyle w:val="Standardparatable"/>
              <w:ind w:right="0"/>
              <w:rPr>
                <w:sz w:val="20"/>
                <w:szCs w:val="20"/>
              </w:rPr>
            </w:pPr>
          </w:p>
        </w:tc>
      </w:tr>
      <w:tr w:rsidR="00D34632" w:rsidTr="00E033A4">
        <w:tc>
          <w:tcPr>
            <w:tcW w:w="3026" w:type="dxa"/>
            <w:vAlign w:val="center"/>
          </w:tcPr>
          <w:p w:rsidR="00D34632" w:rsidRPr="00E033A4" w:rsidRDefault="00E033A4" w:rsidP="00E033A4">
            <w:pPr>
              <w:pStyle w:val="Standardparatable"/>
              <w:ind w:right="0"/>
              <w:rPr>
                <w:sz w:val="22"/>
                <w:szCs w:val="22"/>
              </w:rPr>
            </w:pPr>
            <w:r w:rsidRPr="00E033A4">
              <w:rPr>
                <w:sz w:val="22"/>
                <w:szCs w:val="22"/>
              </w:rPr>
              <w:t>Project Programme</w:t>
            </w:r>
          </w:p>
        </w:tc>
        <w:tc>
          <w:tcPr>
            <w:tcW w:w="1665" w:type="dxa"/>
            <w:shd w:val="clear" w:color="auto" w:fill="auto"/>
            <w:vAlign w:val="center"/>
          </w:tcPr>
          <w:p w:rsidR="00D34632" w:rsidRPr="00F42967" w:rsidRDefault="00D34632" w:rsidP="00946047">
            <w:pPr>
              <w:pStyle w:val="Standardparatable"/>
              <w:ind w:right="0"/>
              <w:jc w:val="center"/>
              <w:rPr>
                <w:sz w:val="20"/>
                <w:szCs w:val="20"/>
              </w:rPr>
            </w:pPr>
          </w:p>
        </w:tc>
        <w:tc>
          <w:tcPr>
            <w:tcW w:w="1531" w:type="dxa"/>
            <w:shd w:val="clear" w:color="auto" w:fill="auto"/>
            <w:vAlign w:val="center"/>
          </w:tcPr>
          <w:p w:rsidR="00D34632" w:rsidRPr="00F42967" w:rsidRDefault="00D34632" w:rsidP="00946047">
            <w:pPr>
              <w:pStyle w:val="Standardparatable"/>
              <w:ind w:right="0"/>
              <w:jc w:val="center"/>
              <w:rPr>
                <w:sz w:val="20"/>
                <w:szCs w:val="20"/>
              </w:rPr>
            </w:pPr>
          </w:p>
        </w:tc>
        <w:tc>
          <w:tcPr>
            <w:tcW w:w="3020" w:type="dxa"/>
            <w:vAlign w:val="center"/>
          </w:tcPr>
          <w:p w:rsidR="00D34632" w:rsidRPr="00E033A4" w:rsidRDefault="00D34632" w:rsidP="00946047">
            <w:pPr>
              <w:pStyle w:val="Standardparatable"/>
              <w:ind w:right="0"/>
              <w:rPr>
                <w:sz w:val="20"/>
                <w:szCs w:val="20"/>
              </w:rPr>
            </w:pPr>
          </w:p>
        </w:tc>
      </w:tr>
      <w:tr w:rsidR="00E033A4" w:rsidTr="00E033A4">
        <w:tc>
          <w:tcPr>
            <w:tcW w:w="3026" w:type="dxa"/>
            <w:vAlign w:val="center"/>
          </w:tcPr>
          <w:p w:rsidR="00E033A4" w:rsidRPr="00E033A4" w:rsidRDefault="00E033A4" w:rsidP="00E033A4">
            <w:pPr>
              <w:pStyle w:val="Standardparatable"/>
              <w:ind w:right="0"/>
              <w:rPr>
                <w:sz w:val="22"/>
                <w:szCs w:val="22"/>
              </w:rPr>
            </w:pPr>
            <w:r w:rsidRPr="00E033A4">
              <w:rPr>
                <w:sz w:val="22"/>
                <w:szCs w:val="22"/>
              </w:rPr>
              <w:t>Project Scope Changes</w:t>
            </w:r>
          </w:p>
        </w:tc>
        <w:tc>
          <w:tcPr>
            <w:tcW w:w="1665" w:type="dxa"/>
            <w:shd w:val="clear" w:color="auto" w:fill="auto"/>
            <w:vAlign w:val="center"/>
          </w:tcPr>
          <w:p w:rsidR="00E033A4" w:rsidRPr="00F42967" w:rsidRDefault="00E033A4" w:rsidP="00946047">
            <w:pPr>
              <w:pStyle w:val="Standardparatable"/>
              <w:ind w:right="0"/>
              <w:jc w:val="center"/>
              <w:rPr>
                <w:sz w:val="20"/>
                <w:szCs w:val="20"/>
              </w:rPr>
            </w:pPr>
          </w:p>
        </w:tc>
        <w:tc>
          <w:tcPr>
            <w:tcW w:w="1531" w:type="dxa"/>
            <w:shd w:val="clear" w:color="auto" w:fill="auto"/>
            <w:vAlign w:val="center"/>
          </w:tcPr>
          <w:p w:rsidR="00E033A4" w:rsidRPr="00F42967" w:rsidRDefault="00E033A4" w:rsidP="00946047">
            <w:pPr>
              <w:pStyle w:val="Standardparatable"/>
              <w:ind w:right="0"/>
              <w:jc w:val="center"/>
              <w:rPr>
                <w:sz w:val="20"/>
                <w:szCs w:val="20"/>
              </w:rPr>
            </w:pPr>
          </w:p>
        </w:tc>
        <w:tc>
          <w:tcPr>
            <w:tcW w:w="3020" w:type="dxa"/>
            <w:vAlign w:val="center"/>
          </w:tcPr>
          <w:p w:rsidR="00E033A4" w:rsidRPr="00E033A4" w:rsidRDefault="00E033A4" w:rsidP="00946047">
            <w:pPr>
              <w:pStyle w:val="Standardparatable"/>
              <w:ind w:right="0"/>
              <w:rPr>
                <w:sz w:val="20"/>
                <w:szCs w:val="20"/>
              </w:rPr>
            </w:pPr>
          </w:p>
        </w:tc>
      </w:tr>
      <w:tr w:rsidR="00D34632" w:rsidTr="00E033A4">
        <w:tc>
          <w:tcPr>
            <w:tcW w:w="3026" w:type="dxa"/>
            <w:vAlign w:val="center"/>
          </w:tcPr>
          <w:p w:rsidR="00D34632" w:rsidRPr="00E033A4" w:rsidRDefault="00E033A4" w:rsidP="00E033A4">
            <w:pPr>
              <w:pStyle w:val="Standardparatable"/>
              <w:ind w:right="0"/>
              <w:rPr>
                <w:sz w:val="22"/>
                <w:szCs w:val="22"/>
              </w:rPr>
            </w:pPr>
            <w:r w:rsidRPr="00E033A4">
              <w:rPr>
                <w:sz w:val="22"/>
                <w:szCs w:val="22"/>
              </w:rPr>
              <w:t>Health &amp; Safety Performance</w:t>
            </w:r>
          </w:p>
        </w:tc>
        <w:tc>
          <w:tcPr>
            <w:tcW w:w="1665" w:type="dxa"/>
            <w:shd w:val="clear" w:color="auto" w:fill="auto"/>
            <w:vAlign w:val="center"/>
          </w:tcPr>
          <w:p w:rsidR="00D34632" w:rsidRPr="00F42967" w:rsidRDefault="00D34632" w:rsidP="00946047">
            <w:pPr>
              <w:pStyle w:val="Standardparatable"/>
              <w:ind w:right="0"/>
              <w:jc w:val="center"/>
              <w:rPr>
                <w:sz w:val="20"/>
                <w:szCs w:val="20"/>
              </w:rPr>
            </w:pPr>
          </w:p>
        </w:tc>
        <w:tc>
          <w:tcPr>
            <w:tcW w:w="1531" w:type="dxa"/>
            <w:shd w:val="clear" w:color="auto" w:fill="auto"/>
            <w:vAlign w:val="center"/>
          </w:tcPr>
          <w:p w:rsidR="00D34632" w:rsidRPr="00F42967" w:rsidRDefault="00D34632" w:rsidP="00946047">
            <w:pPr>
              <w:pStyle w:val="Standardparatable"/>
              <w:ind w:right="0"/>
              <w:jc w:val="center"/>
              <w:rPr>
                <w:sz w:val="20"/>
                <w:szCs w:val="20"/>
              </w:rPr>
            </w:pPr>
          </w:p>
        </w:tc>
        <w:tc>
          <w:tcPr>
            <w:tcW w:w="3020" w:type="dxa"/>
            <w:vAlign w:val="center"/>
          </w:tcPr>
          <w:p w:rsidR="00D34632" w:rsidRPr="00E033A4" w:rsidRDefault="00D34632" w:rsidP="00946047">
            <w:pPr>
              <w:pStyle w:val="Standardparatable"/>
              <w:ind w:right="0"/>
              <w:rPr>
                <w:sz w:val="20"/>
                <w:szCs w:val="20"/>
              </w:rPr>
            </w:pPr>
          </w:p>
        </w:tc>
      </w:tr>
      <w:tr w:rsidR="00E033A4" w:rsidTr="00E033A4">
        <w:tc>
          <w:tcPr>
            <w:tcW w:w="3026" w:type="dxa"/>
            <w:vAlign w:val="center"/>
          </w:tcPr>
          <w:p w:rsidR="00E033A4" w:rsidRPr="00E033A4" w:rsidRDefault="00E033A4" w:rsidP="00E033A4">
            <w:pPr>
              <w:pStyle w:val="Standardparatable"/>
              <w:ind w:right="0"/>
              <w:rPr>
                <w:sz w:val="22"/>
                <w:szCs w:val="22"/>
              </w:rPr>
            </w:pPr>
            <w:r w:rsidRPr="00E033A4">
              <w:rPr>
                <w:sz w:val="22"/>
                <w:szCs w:val="22"/>
              </w:rPr>
              <w:t>Design &amp; Technical Aspects</w:t>
            </w:r>
          </w:p>
        </w:tc>
        <w:tc>
          <w:tcPr>
            <w:tcW w:w="1665" w:type="dxa"/>
            <w:shd w:val="clear" w:color="auto" w:fill="auto"/>
            <w:vAlign w:val="center"/>
          </w:tcPr>
          <w:p w:rsidR="00E033A4" w:rsidRPr="00F42967" w:rsidRDefault="00E033A4" w:rsidP="00946047">
            <w:pPr>
              <w:pStyle w:val="Standardparatable"/>
              <w:ind w:right="0"/>
              <w:jc w:val="center"/>
              <w:rPr>
                <w:sz w:val="20"/>
                <w:szCs w:val="20"/>
              </w:rPr>
            </w:pPr>
          </w:p>
        </w:tc>
        <w:tc>
          <w:tcPr>
            <w:tcW w:w="1531" w:type="dxa"/>
            <w:shd w:val="clear" w:color="auto" w:fill="auto"/>
            <w:vAlign w:val="center"/>
          </w:tcPr>
          <w:p w:rsidR="00E033A4" w:rsidRPr="00F42967" w:rsidRDefault="00E033A4" w:rsidP="00946047">
            <w:pPr>
              <w:pStyle w:val="Standardparatable"/>
              <w:ind w:right="0"/>
              <w:jc w:val="center"/>
              <w:rPr>
                <w:sz w:val="20"/>
                <w:szCs w:val="20"/>
              </w:rPr>
            </w:pPr>
          </w:p>
        </w:tc>
        <w:tc>
          <w:tcPr>
            <w:tcW w:w="3020" w:type="dxa"/>
            <w:vAlign w:val="center"/>
          </w:tcPr>
          <w:p w:rsidR="00E033A4" w:rsidRPr="00E033A4" w:rsidRDefault="00E033A4" w:rsidP="00946047">
            <w:pPr>
              <w:pStyle w:val="Standardparatable"/>
              <w:ind w:right="0"/>
              <w:rPr>
                <w:sz w:val="20"/>
                <w:szCs w:val="20"/>
              </w:rPr>
            </w:pPr>
          </w:p>
        </w:tc>
      </w:tr>
      <w:tr w:rsidR="00E033A4" w:rsidTr="00E033A4">
        <w:tc>
          <w:tcPr>
            <w:tcW w:w="3026" w:type="dxa"/>
            <w:vAlign w:val="center"/>
          </w:tcPr>
          <w:p w:rsidR="00E033A4" w:rsidRPr="00E033A4" w:rsidRDefault="00E033A4" w:rsidP="00E033A4">
            <w:pPr>
              <w:pStyle w:val="Standardparatable"/>
              <w:ind w:right="0"/>
              <w:rPr>
                <w:sz w:val="22"/>
                <w:szCs w:val="22"/>
              </w:rPr>
            </w:pPr>
            <w:r w:rsidRPr="00E033A4">
              <w:rPr>
                <w:sz w:val="22"/>
                <w:szCs w:val="22"/>
              </w:rPr>
              <w:t>Risk Management Issues</w:t>
            </w:r>
          </w:p>
        </w:tc>
        <w:tc>
          <w:tcPr>
            <w:tcW w:w="1665" w:type="dxa"/>
            <w:shd w:val="clear" w:color="auto" w:fill="auto"/>
            <w:vAlign w:val="center"/>
          </w:tcPr>
          <w:p w:rsidR="00E033A4" w:rsidRPr="00F42967" w:rsidRDefault="00E033A4" w:rsidP="00946047">
            <w:pPr>
              <w:pStyle w:val="Standardparatable"/>
              <w:ind w:right="0"/>
              <w:jc w:val="center"/>
              <w:rPr>
                <w:sz w:val="20"/>
                <w:szCs w:val="20"/>
              </w:rPr>
            </w:pPr>
          </w:p>
        </w:tc>
        <w:tc>
          <w:tcPr>
            <w:tcW w:w="1531" w:type="dxa"/>
            <w:shd w:val="clear" w:color="auto" w:fill="auto"/>
            <w:vAlign w:val="center"/>
          </w:tcPr>
          <w:p w:rsidR="00E033A4" w:rsidRPr="00F42967" w:rsidRDefault="00E033A4" w:rsidP="00946047">
            <w:pPr>
              <w:pStyle w:val="Standardparatable"/>
              <w:ind w:right="0"/>
              <w:jc w:val="center"/>
              <w:rPr>
                <w:sz w:val="20"/>
                <w:szCs w:val="20"/>
              </w:rPr>
            </w:pPr>
          </w:p>
        </w:tc>
        <w:tc>
          <w:tcPr>
            <w:tcW w:w="3020" w:type="dxa"/>
            <w:vAlign w:val="center"/>
          </w:tcPr>
          <w:p w:rsidR="00E033A4" w:rsidRPr="00E033A4" w:rsidRDefault="00E033A4" w:rsidP="00946047">
            <w:pPr>
              <w:pStyle w:val="Standardparatable"/>
              <w:ind w:right="0"/>
              <w:rPr>
                <w:sz w:val="20"/>
                <w:szCs w:val="20"/>
              </w:rPr>
            </w:pPr>
          </w:p>
        </w:tc>
      </w:tr>
      <w:tr w:rsidR="00F42967" w:rsidTr="00F42967">
        <w:tc>
          <w:tcPr>
            <w:tcW w:w="9242" w:type="dxa"/>
            <w:gridSpan w:val="4"/>
            <w:shd w:val="clear" w:color="auto" w:fill="92CDDC" w:themeFill="accent5" w:themeFillTint="99"/>
          </w:tcPr>
          <w:p w:rsidR="00F42967" w:rsidRDefault="00111E3B" w:rsidP="008A0918">
            <w:pPr>
              <w:pStyle w:val="Standardparatable"/>
            </w:pPr>
            <w:r>
              <w:rPr>
                <w:b/>
              </w:rPr>
              <w:t>Service Benefits</w:t>
            </w:r>
            <w:r w:rsidR="00901478">
              <w:rPr>
                <w:b/>
              </w:rPr>
              <w:t xml:space="preserve"> </w:t>
            </w:r>
            <w:r w:rsidR="00F42967" w:rsidRPr="008A0918">
              <w:rPr>
                <w:b/>
              </w:rPr>
              <w:t>Ev</w:t>
            </w:r>
            <w:r>
              <w:rPr>
                <w:b/>
              </w:rPr>
              <w:t>aluation s</w:t>
            </w:r>
            <w:r w:rsidR="00F42967" w:rsidRPr="008A0918">
              <w:rPr>
                <w:b/>
              </w:rPr>
              <w:t>tage:</w:t>
            </w:r>
          </w:p>
        </w:tc>
      </w:tr>
      <w:tr w:rsidR="00D34632" w:rsidTr="00F42967">
        <w:tc>
          <w:tcPr>
            <w:tcW w:w="3026" w:type="dxa"/>
            <w:vAlign w:val="center"/>
          </w:tcPr>
          <w:p w:rsidR="00D34632" w:rsidRPr="00E033A4" w:rsidRDefault="00E04955" w:rsidP="00946047">
            <w:pPr>
              <w:pStyle w:val="Standardparatable"/>
              <w:ind w:right="0"/>
              <w:rPr>
                <w:sz w:val="22"/>
                <w:szCs w:val="22"/>
              </w:rPr>
            </w:pPr>
            <w:r>
              <w:rPr>
                <w:sz w:val="22"/>
                <w:szCs w:val="22"/>
              </w:rPr>
              <w:t>Expected b</w:t>
            </w:r>
            <w:r w:rsidR="00E033A4">
              <w:rPr>
                <w:sz w:val="22"/>
                <w:szCs w:val="22"/>
              </w:rPr>
              <w:t>enefits</w:t>
            </w:r>
          </w:p>
        </w:tc>
        <w:tc>
          <w:tcPr>
            <w:tcW w:w="1665" w:type="dxa"/>
            <w:shd w:val="clear" w:color="auto" w:fill="auto"/>
            <w:vAlign w:val="center"/>
          </w:tcPr>
          <w:p w:rsidR="00D34632" w:rsidRPr="00F42967" w:rsidRDefault="00D34632" w:rsidP="00946047">
            <w:pPr>
              <w:pStyle w:val="Standardparatable"/>
              <w:ind w:right="0"/>
              <w:jc w:val="center"/>
              <w:rPr>
                <w:sz w:val="20"/>
                <w:szCs w:val="20"/>
              </w:rPr>
            </w:pPr>
          </w:p>
        </w:tc>
        <w:tc>
          <w:tcPr>
            <w:tcW w:w="1531" w:type="dxa"/>
            <w:shd w:val="clear" w:color="auto" w:fill="auto"/>
            <w:vAlign w:val="center"/>
          </w:tcPr>
          <w:p w:rsidR="00D34632" w:rsidRPr="00F42967" w:rsidRDefault="00D34632" w:rsidP="00946047">
            <w:pPr>
              <w:pStyle w:val="Standardparatable"/>
              <w:ind w:right="0"/>
              <w:jc w:val="center"/>
              <w:rPr>
                <w:sz w:val="20"/>
                <w:szCs w:val="20"/>
              </w:rPr>
            </w:pPr>
          </w:p>
        </w:tc>
        <w:tc>
          <w:tcPr>
            <w:tcW w:w="3020" w:type="dxa"/>
            <w:vAlign w:val="center"/>
          </w:tcPr>
          <w:p w:rsidR="00D34632" w:rsidRPr="001B7EF9" w:rsidRDefault="00D34632" w:rsidP="00946047">
            <w:pPr>
              <w:pStyle w:val="Standardparatable"/>
              <w:ind w:right="0"/>
              <w:rPr>
                <w:i/>
                <w:sz w:val="20"/>
                <w:szCs w:val="20"/>
              </w:rPr>
            </w:pPr>
          </w:p>
        </w:tc>
      </w:tr>
      <w:tr w:rsidR="00D34632" w:rsidTr="00F42967">
        <w:tc>
          <w:tcPr>
            <w:tcW w:w="3026" w:type="dxa"/>
            <w:vAlign w:val="center"/>
          </w:tcPr>
          <w:p w:rsidR="00D34632" w:rsidRPr="00E033A4" w:rsidRDefault="00E033A4" w:rsidP="00946047">
            <w:pPr>
              <w:pStyle w:val="Standardparatable"/>
              <w:ind w:right="0"/>
              <w:rPr>
                <w:sz w:val="22"/>
                <w:szCs w:val="22"/>
              </w:rPr>
            </w:pPr>
            <w:r>
              <w:rPr>
                <w:sz w:val="22"/>
                <w:szCs w:val="22"/>
              </w:rPr>
              <w:t>Stakeholder expectations</w:t>
            </w:r>
          </w:p>
        </w:tc>
        <w:tc>
          <w:tcPr>
            <w:tcW w:w="1665" w:type="dxa"/>
            <w:shd w:val="clear" w:color="auto" w:fill="auto"/>
            <w:vAlign w:val="center"/>
          </w:tcPr>
          <w:p w:rsidR="00D34632" w:rsidRPr="00F42967" w:rsidRDefault="00D34632" w:rsidP="00946047">
            <w:pPr>
              <w:pStyle w:val="Standardparatable"/>
              <w:ind w:right="0"/>
              <w:jc w:val="center"/>
              <w:rPr>
                <w:sz w:val="20"/>
                <w:szCs w:val="20"/>
              </w:rPr>
            </w:pPr>
          </w:p>
        </w:tc>
        <w:tc>
          <w:tcPr>
            <w:tcW w:w="1531" w:type="dxa"/>
            <w:shd w:val="clear" w:color="auto" w:fill="auto"/>
            <w:vAlign w:val="center"/>
          </w:tcPr>
          <w:p w:rsidR="00D34632" w:rsidRPr="00F42967" w:rsidRDefault="00D34632" w:rsidP="00946047">
            <w:pPr>
              <w:pStyle w:val="Standardparatable"/>
              <w:ind w:right="0"/>
              <w:jc w:val="center"/>
              <w:rPr>
                <w:sz w:val="20"/>
                <w:szCs w:val="20"/>
              </w:rPr>
            </w:pPr>
          </w:p>
        </w:tc>
        <w:tc>
          <w:tcPr>
            <w:tcW w:w="3020" w:type="dxa"/>
            <w:vAlign w:val="center"/>
          </w:tcPr>
          <w:p w:rsidR="00D34632" w:rsidRPr="001B7EF9" w:rsidRDefault="00D34632" w:rsidP="00946047">
            <w:pPr>
              <w:pStyle w:val="Standardparatable"/>
              <w:ind w:right="0"/>
              <w:rPr>
                <w:i/>
                <w:sz w:val="20"/>
                <w:szCs w:val="20"/>
              </w:rPr>
            </w:pPr>
          </w:p>
        </w:tc>
      </w:tr>
      <w:tr w:rsidR="00111E3B" w:rsidTr="00F42967">
        <w:tc>
          <w:tcPr>
            <w:tcW w:w="3026" w:type="dxa"/>
            <w:vAlign w:val="center"/>
          </w:tcPr>
          <w:p w:rsidR="00111E3B" w:rsidRDefault="00111E3B" w:rsidP="00111E3B">
            <w:pPr>
              <w:pStyle w:val="Standardparatable"/>
              <w:ind w:right="0"/>
              <w:rPr>
                <w:sz w:val="22"/>
                <w:szCs w:val="22"/>
              </w:rPr>
            </w:pPr>
            <w:r>
              <w:rPr>
                <w:sz w:val="22"/>
                <w:szCs w:val="22"/>
              </w:rPr>
              <w:t>Impact of service change</w:t>
            </w:r>
          </w:p>
        </w:tc>
        <w:tc>
          <w:tcPr>
            <w:tcW w:w="1665" w:type="dxa"/>
            <w:shd w:val="clear" w:color="auto" w:fill="auto"/>
            <w:vAlign w:val="center"/>
          </w:tcPr>
          <w:p w:rsidR="00111E3B" w:rsidRPr="00F42967" w:rsidRDefault="00111E3B" w:rsidP="00946047">
            <w:pPr>
              <w:pStyle w:val="Standardparatable"/>
              <w:ind w:right="0"/>
              <w:jc w:val="center"/>
              <w:rPr>
                <w:sz w:val="20"/>
                <w:szCs w:val="20"/>
              </w:rPr>
            </w:pPr>
          </w:p>
        </w:tc>
        <w:tc>
          <w:tcPr>
            <w:tcW w:w="1531" w:type="dxa"/>
            <w:shd w:val="clear" w:color="auto" w:fill="auto"/>
            <w:vAlign w:val="center"/>
          </w:tcPr>
          <w:p w:rsidR="00111E3B" w:rsidRPr="00F42967" w:rsidRDefault="00111E3B" w:rsidP="00946047">
            <w:pPr>
              <w:pStyle w:val="Standardparatable"/>
              <w:ind w:right="0"/>
              <w:jc w:val="center"/>
              <w:rPr>
                <w:sz w:val="20"/>
                <w:szCs w:val="20"/>
              </w:rPr>
            </w:pPr>
          </w:p>
        </w:tc>
        <w:tc>
          <w:tcPr>
            <w:tcW w:w="3020" w:type="dxa"/>
            <w:vAlign w:val="center"/>
          </w:tcPr>
          <w:p w:rsidR="00111E3B" w:rsidRPr="001B7EF9" w:rsidRDefault="00111E3B" w:rsidP="00946047">
            <w:pPr>
              <w:pStyle w:val="Standardparatable"/>
              <w:ind w:right="0"/>
              <w:rPr>
                <w:i/>
                <w:sz w:val="20"/>
                <w:szCs w:val="20"/>
              </w:rPr>
            </w:pPr>
          </w:p>
        </w:tc>
      </w:tr>
      <w:tr w:rsidR="00D34632" w:rsidTr="00F42967">
        <w:tc>
          <w:tcPr>
            <w:tcW w:w="3026" w:type="dxa"/>
            <w:vAlign w:val="center"/>
          </w:tcPr>
          <w:p w:rsidR="00D34632" w:rsidRPr="00E033A4" w:rsidRDefault="00E033A4" w:rsidP="00111E3B">
            <w:pPr>
              <w:pStyle w:val="Standardparatable"/>
              <w:ind w:right="0"/>
              <w:rPr>
                <w:sz w:val="22"/>
                <w:szCs w:val="22"/>
              </w:rPr>
            </w:pPr>
            <w:r>
              <w:rPr>
                <w:sz w:val="22"/>
                <w:szCs w:val="22"/>
              </w:rPr>
              <w:t xml:space="preserve">Service </w:t>
            </w:r>
            <w:r w:rsidR="00111E3B">
              <w:rPr>
                <w:sz w:val="22"/>
                <w:szCs w:val="22"/>
              </w:rPr>
              <w:t xml:space="preserve">activity </w:t>
            </w:r>
            <w:r>
              <w:rPr>
                <w:sz w:val="22"/>
                <w:szCs w:val="22"/>
              </w:rPr>
              <w:t>&amp; performance</w:t>
            </w:r>
          </w:p>
        </w:tc>
        <w:tc>
          <w:tcPr>
            <w:tcW w:w="1665" w:type="dxa"/>
            <w:shd w:val="clear" w:color="auto" w:fill="auto"/>
            <w:vAlign w:val="center"/>
          </w:tcPr>
          <w:p w:rsidR="00D34632" w:rsidRPr="00F42967" w:rsidRDefault="00D34632" w:rsidP="00946047">
            <w:pPr>
              <w:pStyle w:val="Standardparatable"/>
              <w:ind w:right="0"/>
              <w:jc w:val="center"/>
              <w:rPr>
                <w:sz w:val="20"/>
                <w:szCs w:val="20"/>
              </w:rPr>
            </w:pPr>
          </w:p>
        </w:tc>
        <w:tc>
          <w:tcPr>
            <w:tcW w:w="1531" w:type="dxa"/>
            <w:shd w:val="clear" w:color="auto" w:fill="auto"/>
            <w:vAlign w:val="center"/>
          </w:tcPr>
          <w:p w:rsidR="00D34632" w:rsidRPr="00F42967" w:rsidRDefault="00D34632" w:rsidP="00946047">
            <w:pPr>
              <w:pStyle w:val="Standardparatable"/>
              <w:ind w:right="0"/>
              <w:jc w:val="center"/>
              <w:rPr>
                <w:sz w:val="20"/>
                <w:szCs w:val="20"/>
              </w:rPr>
            </w:pPr>
          </w:p>
        </w:tc>
        <w:tc>
          <w:tcPr>
            <w:tcW w:w="3020" w:type="dxa"/>
            <w:vAlign w:val="center"/>
          </w:tcPr>
          <w:p w:rsidR="00D34632" w:rsidRPr="001B7EF9" w:rsidRDefault="00D34632" w:rsidP="00946047">
            <w:pPr>
              <w:pStyle w:val="Standardparatable"/>
              <w:ind w:right="0"/>
              <w:rPr>
                <w:i/>
                <w:sz w:val="20"/>
                <w:szCs w:val="20"/>
              </w:rPr>
            </w:pPr>
          </w:p>
        </w:tc>
      </w:tr>
    </w:tbl>
    <w:p w:rsidR="0002066C" w:rsidRDefault="0002066C" w:rsidP="0002066C">
      <w:pPr>
        <w:pStyle w:val="NoSpacing"/>
        <w:rPr>
          <w:rFonts w:eastAsiaTheme="majorEastAsia"/>
          <w:kern w:val="28"/>
        </w:rPr>
      </w:pPr>
    </w:p>
    <w:p w:rsidR="0002066C" w:rsidRDefault="001B7EF9" w:rsidP="0002066C">
      <w:pPr>
        <w:pStyle w:val="Standardparagraph"/>
        <w:rPr>
          <w:rFonts w:eastAsiaTheme="majorEastAsia"/>
          <w:kern w:val="28"/>
        </w:rPr>
      </w:pPr>
      <w:r w:rsidRPr="00A6695F">
        <w:rPr>
          <w:rFonts w:eastAsiaTheme="majorEastAsia"/>
          <w:kern w:val="28"/>
        </w:rPr>
        <w:t xml:space="preserve">Note: </w:t>
      </w:r>
      <w:r w:rsidR="0002066C">
        <w:rPr>
          <w:rFonts w:eastAsiaTheme="majorEastAsia"/>
          <w:kern w:val="28"/>
        </w:rPr>
        <w:t>the approach adopted for monitoring and evaluating each element may be dependent upon a project’s scale and complexity.</w:t>
      </w:r>
    </w:p>
    <w:p w:rsidR="001B7EF9" w:rsidRDefault="001B7EF9" w:rsidP="0002066C">
      <w:pPr>
        <w:pStyle w:val="Standardparagraph"/>
        <w:sectPr w:rsidR="001B7EF9" w:rsidSect="00B94BED">
          <w:footerReference w:type="default" r:id="rId21"/>
          <w:pgSz w:w="11906" w:h="16838"/>
          <w:pgMar w:top="1440" w:right="1440" w:bottom="1440" w:left="1440" w:header="708" w:footer="708" w:gutter="0"/>
          <w:pgNumType w:start="1"/>
          <w:cols w:space="708"/>
          <w:docGrid w:linePitch="360"/>
        </w:sectPr>
      </w:pPr>
    </w:p>
    <w:p w:rsidR="00586FC2" w:rsidRDefault="00586FC2" w:rsidP="0082597E">
      <w:pPr>
        <w:pStyle w:val="AppendixTitle"/>
        <w:jc w:val="center"/>
      </w:pPr>
    </w:p>
    <w:p w:rsidR="0082597E" w:rsidRDefault="00586FC2" w:rsidP="0082597E">
      <w:pPr>
        <w:pStyle w:val="AppendixTitle"/>
        <w:jc w:val="center"/>
      </w:pPr>
      <w:r>
        <w:t>Appendix B</w:t>
      </w:r>
      <w:r w:rsidR="004B6392">
        <w:t>:</w:t>
      </w:r>
    </w:p>
    <w:p w:rsidR="004B6392" w:rsidRDefault="0002066C" w:rsidP="0082597E">
      <w:pPr>
        <w:pStyle w:val="AppendixTitle"/>
        <w:jc w:val="center"/>
      </w:pPr>
      <w:r>
        <w:t xml:space="preserve">Project </w:t>
      </w:r>
      <w:r w:rsidR="004B6392">
        <w:t xml:space="preserve">Cost Monitoring </w:t>
      </w:r>
      <w:r>
        <w:t>Form</w:t>
      </w:r>
    </w:p>
    <w:p w:rsidR="004B6392" w:rsidRDefault="004B6392" w:rsidP="004B6392">
      <w:pPr>
        <w:pStyle w:val="Standardparagraph"/>
      </w:pPr>
    </w:p>
    <w:p w:rsidR="004B6392" w:rsidRDefault="004B6392">
      <w:pPr>
        <w:rPr>
          <w:rFonts w:ascii="Arial" w:eastAsia="Times New Roman" w:hAnsi="Arial" w:cs="Times New Roman"/>
          <w:sz w:val="24"/>
          <w:szCs w:val="20"/>
        </w:rPr>
      </w:pPr>
      <w:r>
        <w:br w:type="page"/>
      </w:r>
    </w:p>
    <w:p w:rsidR="004B6392" w:rsidRDefault="00E04955" w:rsidP="00C56E3D">
      <w:pPr>
        <w:pStyle w:val="Standardparagraphheading"/>
      </w:pPr>
      <w:r>
        <w:lastRenderedPageBreak/>
        <w:t xml:space="preserve">Capital / </w:t>
      </w:r>
      <w:r w:rsidR="004B2272">
        <w:t xml:space="preserve">Equivalent </w:t>
      </w:r>
      <w:r>
        <w:t>Investment</w:t>
      </w:r>
      <w:r w:rsidR="00724690">
        <w:t xml:space="preserve"> </w:t>
      </w:r>
      <w:r w:rsidR="00C56E3D">
        <w:t>Cost Monitoring Form:</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36"/>
        <w:gridCol w:w="1326"/>
        <w:gridCol w:w="1327"/>
        <w:gridCol w:w="1326"/>
        <w:gridCol w:w="1327"/>
      </w:tblGrid>
      <w:tr w:rsidR="0082597E" w:rsidRPr="0082597E" w:rsidTr="00C56E3D">
        <w:tc>
          <w:tcPr>
            <w:tcW w:w="3936" w:type="dxa"/>
            <w:shd w:val="clear" w:color="auto" w:fill="31849B" w:themeFill="accent5" w:themeFillShade="BF"/>
          </w:tcPr>
          <w:p w:rsidR="0082597E" w:rsidRPr="0082597E" w:rsidRDefault="0082597E" w:rsidP="00946047">
            <w:pPr>
              <w:pStyle w:val="Standardparatable"/>
              <w:ind w:right="34"/>
              <w:jc w:val="right"/>
              <w:rPr>
                <w:b/>
                <w:color w:val="FFFFFF" w:themeColor="background1"/>
                <w:sz w:val="20"/>
                <w:szCs w:val="20"/>
              </w:rPr>
            </w:pPr>
            <w:r w:rsidRPr="0082597E">
              <w:rPr>
                <w:b/>
                <w:color w:val="FFFFFF" w:themeColor="background1"/>
                <w:sz w:val="20"/>
                <w:szCs w:val="20"/>
              </w:rPr>
              <w:t>Project Title:</w:t>
            </w:r>
          </w:p>
        </w:tc>
        <w:tc>
          <w:tcPr>
            <w:tcW w:w="5306" w:type="dxa"/>
            <w:gridSpan w:val="4"/>
            <w:vAlign w:val="center"/>
          </w:tcPr>
          <w:p w:rsidR="0082597E" w:rsidRPr="0082597E" w:rsidRDefault="0082597E" w:rsidP="0082597E">
            <w:pPr>
              <w:pStyle w:val="Standardparatable"/>
              <w:rPr>
                <w:b/>
                <w:sz w:val="20"/>
                <w:szCs w:val="20"/>
              </w:rPr>
            </w:pPr>
          </w:p>
        </w:tc>
      </w:tr>
      <w:tr w:rsidR="0082597E" w:rsidRPr="0082597E" w:rsidTr="00C56E3D">
        <w:tc>
          <w:tcPr>
            <w:tcW w:w="3936" w:type="dxa"/>
            <w:tcBorders>
              <w:bottom w:val="single" w:sz="6" w:space="0" w:color="auto"/>
            </w:tcBorders>
            <w:shd w:val="clear" w:color="auto" w:fill="31849B" w:themeFill="accent5" w:themeFillShade="BF"/>
          </w:tcPr>
          <w:p w:rsidR="0082597E" w:rsidRPr="0082597E" w:rsidRDefault="0082597E" w:rsidP="00946047">
            <w:pPr>
              <w:pStyle w:val="Standardparatable"/>
              <w:ind w:right="34"/>
              <w:jc w:val="right"/>
              <w:rPr>
                <w:b/>
                <w:color w:val="FFFFFF" w:themeColor="background1"/>
                <w:sz w:val="20"/>
                <w:szCs w:val="20"/>
              </w:rPr>
            </w:pPr>
            <w:r w:rsidRPr="0082597E">
              <w:rPr>
                <w:b/>
                <w:color w:val="FFFFFF" w:themeColor="background1"/>
                <w:sz w:val="20"/>
                <w:szCs w:val="20"/>
              </w:rPr>
              <w:t>Floor Area (GIA):</w:t>
            </w:r>
          </w:p>
        </w:tc>
        <w:tc>
          <w:tcPr>
            <w:tcW w:w="5306" w:type="dxa"/>
            <w:gridSpan w:val="4"/>
            <w:vAlign w:val="center"/>
          </w:tcPr>
          <w:p w:rsidR="0082597E" w:rsidRPr="0082597E" w:rsidRDefault="0082597E" w:rsidP="0082597E">
            <w:pPr>
              <w:pStyle w:val="Standardparatable"/>
              <w:rPr>
                <w:sz w:val="20"/>
                <w:szCs w:val="20"/>
              </w:rPr>
            </w:pPr>
          </w:p>
        </w:tc>
      </w:tr>
      <w:tr w:rsidR="0082597E" w:rsidRPr="0082597E" w:rsidTr="00C56E3D">
        <w:tc>
          <w:tcPr>
            <w:tcW w:w="3936" w:type="dxa"/>
            <w:tcBorders>
              <w:top w:val="single" w:sz="6" w:space="0" w:color="auto"/>
              <w:bottom w:val="single" w:sz="6" w:space="0" w:color="auto"/>
            </w:tcBorders>
            <w:shd w:val="clear" w:color="auto" w:fill="31849B" w:themeFill="accent5" w:themeFillShade="BF"/>
          </w:tcPr>
          <w:p w:rsidR="0082597E" w:rsidRPr="0082597E" w:rsidRDefault="0082597E" w:rsidP="00946047">
            <w:pPr>
              <w:pStyle w:val="Standardparatable"/>
              <w:ind w:right="34"/>
              <w:jc w:val="center"/>
              <w:rPr>
                <w:b/>
                <w:sz w:val="18"/>
                <w:szCs w:val="18"/>
              </w:rPr>
            </w:pPr>
          </w:p>
        </w:tc>
        <w:tc>
          <w:tcPr>
            <w:tcW w:w="1326" w:type="dxa"/>
            <w:shd w:val="clear" w:color="auto" w:fill="31849B" w:themeFill="accent5" w:themeFillShade="BF"/>
            <w:vAlign w:val="center"/>
          </w:tcPr>
          <w:p w:rsidR="0082597E" w:rsidRPr="0082597E" w:rsidRDefault="0082597E" w:rsidP="00946047">
            <w:pPr>
              <w:pStyle w:val="Standardparatable"/>
              <w:ind w:right="0"/>
              <w:jc w:val="center"/>
              <w:rPr>
                <w:b/>
                <w:color w:val="FFFFFF" w:themeColor="background1"/>
                <w:sz w:val="20"/>
                <w:szCs w:val="20"/>
              </w:rPr>
            </w:pPr>
            <w:r w:rsidRPr="0082597E">
              <w:rPr>
                <w:b/>
                <w:color w:val="FFFFFF" w:themeColor="background1"/>
                <w:sz w:val="20"/>
                <w:szCs w:val="20"/>
              </w:rPr>
              <w:t>IA</w:t>
            </w:r>
          </w:p>
        </w:tc>
        <w:tc>
          <w:tcPr>
            <w:tcW w:w="1327" w:type="dxa"/>
            <w:shd w:val="clear" w:color="auto" w:fill="31849B" w:themeFill="accent5" w:themeFillShade="BF"/>
            <w:vAlign w:val="center"/>
          </w:tcPr>
          <w:p w:rsidR="0082597E" w:rsidRPr="0082597E" w:rsidRDefault="0082597E" w:rsidP="00946047">
            <w:pPr>
              <w:pStyle w:val="Standardparatable"/>
              <w:ind w:right="0"/>
              <w:jc w:val="center"/>
              <w:rPr>
                <w:b/>
                <w:color w:val="FFFFFF" w:themeColor="background1"/>
                <w:sz w:val="20"/>
                <w:szCs w:val="20"/>
              </w:rPr>
            </w:pPr>
            <w:r w:rsidRPr="0082597E">
              <w:rPr>
                <w:b/>
                <w:color w:val="FFFFFF" w:themeColor="background1"/>
                <w:sz w:val="20"/>
                <w:szCs w:val="20"/>
              </w:rPr>
              <w:t>OBC</w:t>
            </w:r>
          </w:p>
        </w:tc>
        <w:tc>
          <w:tcPr>
            <w:tcW w:w="1326" w:type="dxa"/>
            <w:shd w:val="clear" w:color="auto" w:fill="31849B" w:themeFill="accent5" w:themeFillShade="BF"/>
            <w:vAlign w:val="center"/>
          </w:tcPr>
          <w:p w:rsidR="0082597E" w:rsidRPr="0082597E" w:rsidRDefault="0082597E" w:rsidP="00946047">
            <w:pPr>
              <w:pStyle w:val="Standardparatable"/>
              <w:ind w:right="0"/>
              <w:jc w:val="center"/>
              <w:rPr>
                <w:b/>
                <w:color w:val="FFFFFF" w:themeColor="background1"/>
                <w:sz w:val="20"/>
                <w:szCs w:val="20"/>
              </w:rPr>
            </w:pPr>
            <w:r w:rsidRPr="0082597E">
              <w:rPr>
                <w:b/>
                <w:color w:val="FFFFFF" w:themeColor="background1"/>
                <w:sz w:val="20"/>
                <w:szCs w:val="20"/>
              </w:rPr>
              <w:t>FBC</w:t>
            </w:r>
          </w:p>
        </w:tc>
        <w:tc>
          <w:tcPr>
            <w:tcW w:w="1327" w:type="dxa"/>
            <w:shd w:val="clear" w:color="auto" w:fill="31849B" w:themeFill="accent5" w:themeFillShade="BF"/>
            <w:vAlign w:val="center"/>
          </w:tcPr>
          <w:p w:rsidR="0082597E" w:rsidRPr="0082597E" w:rsidRDefault="0082597E" w:rsidP="00946047">
            <w:pPr>
              <w:pStyle w:val="Standardparatable"/>
              <w:ind w:right="0"/>
              <w:jc w:val="center"/>
              <w:rPr>
                <w:b/>
                <w:color w:val="FFFFFF" w:themeColor="background1"/>
                <w:sz w:val="20"/>
                <w:szCs w:val="20"/>
              </w:rPr>
            </w:pPr>
            <w:r w:rsidRPr="0082597E">
              <w:rPr>
                <w:b/>
                <w:color w:val="FFFFFF" w:themeColor="background1"/>
                <w:sz w:val="20"/>
                <w:szCs w:val="20"/>
              </w:rPr>
              <w:t>Actual</w:t>
            </w:r>
          </w:p>
        </w:tc>
      </w:tr>
      <w:tr w:rsidR="0082597E" w:rsidRPr="0082597E" w:rsidTr="00C56E3D">
        <w:tc>
          <w:tcPr>
            <w:tcW w:w="3936" w:type="dxa"/>
            <w:tcBorders>
              <w:top w:val="single" w:sz="6" w:space="0" w:color="auto"/>
            </w:tcBorders>
          </w:tcPr>
          <w:p w:rsidR="0082597E" w:rsidRPr="0082597E" w:rsidRDefault="0082597E" w:rsidP="00946047">
            <w:pPr>
              <w:pStyle w:val="Standardparatable"/>
              <w:ind w:right="0"/>
              <w:rPr>
                <w:sz w:val="18"/>
                <w:szCs w:val="18"/>
              </w:rPr>
            </w:pPr>
            <w:r w:rsidRPr="0082597E">
              <w:rPr>
                <w:sz w:val="18"/>
                <w:szCs w:val="18"/>
              </w:rPr>
              <w:t xml:space="preserve">Construction </w:t>
            </w:r>
            <w:r w:rsidR="00013F42">
              <w:rPr>
                <w:sz w:val="18"/>
                <w:szCs w:val="18"/>
              </w:rPr>
              <w:t xml:space="preserve">/ Investment </w:t>
            </w:r>
            <w:r w:rsidRPr="0082597E">
              <w:rPr>
                <w:sz w:val="18"/>
                <w:szCs w:val="18"/>
              </w:rPr>
              <w:t>Cost:</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82597E">
        <w:tc>
          <w:tcPr>
            <w:tcW w:w="3936" w:type="dxa"/>
          </w:tcPr>
          <w:p w:rsidR="0082597E" w:rsidRPr="0082597E" w:rsidRDefault="0082597E" w:rsidP="00946047">
            <w:pPr>
              <w:pStyle w:val="Standardparatable"/>
              <w:ind w:right="0"/>
              <w:rPr>
                <w:sz w:val="18"/>
                <w:szCs w:val="18"/>
              </w:rPr>
            </w:pPr>
            <w:r w:rsidRPr="0082597E">
              <w:rPr>
                <w:sz w:val="18"/>
                <w:szCs w:val="18"/>
              </w:rPr>
              <w:t xml:space="preserve">Quantified </w:t>
            </w:r>
            <w:r w:rsidR="00A77534">
              <w:rPr>
                <w:sz w:val="18"/>
                <w:szCs w:val="18"/>
              </w:rPr>
              <w:t>Construction Risk:</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C56E3D">
        <w:tc>
          <w:tcPr>
            <w:tcW w:w="3936" w:type="dxa"/>
          </w:tcPr>
          <w:p w:rsidR="0082597E" w:rsidRPr="0082597E" w:rsidRDefault="0082597E" w:rsidP="00946047">
            <w:pPr>
              <w:pStyle w:val="Standardparatable"/>
              <w:ind w:right="0"/>
              <w:rPr>
                <w:i/>
                <w:sz w:val="18"/>
                <w:szCs w:val="18"/>
              </w:rPr>
            </w:pPr>
            <w:r w:rsidRPr="0082597E">
              <w:rPr>
                <w:i/>
                <w:sz w:val="18"/>
                <w:szCs w:val="18"/>
              </w:rPr>
              <w:t>Additional itemised costs:</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C56E3D">
        <w:tc>
          <w:tcPr>
            <w:tcW w:w="3936" w:type="dxa"/>
            <w:shd w:val="clear" w:color="auto" w:fill="92CDDC" w:themeFill="accent5" w:themeFillTint="99"/>
          </w:tcPr>
          <w:p w:rsidR="0082597E" w:rsidRPr="0082597E" w:rsidRDefault="0082597E" w:rsidP="00946047">
            <w:pPr>
              <w:pStyle w:val="Standardparatable"/>
              <w:ind w:right="0"/>
              <w:rPr>
                <w:b/>
                <w:sz w:val="18"/>
                <w:szCs w:val="18"/>
              </w:rPr>
            </w:pPr>
            <w:r w:rsidRPr="0082597E">
              <w:rPr>
                <w:b/>
                <w:sz w:val="18"/>
                <w:szCs w:val="18"/>
              </w:rPr>
              <w:t>Total Construction Costs:</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C56E3D">
        <w:tc>
          <w:tcPr>
            <w:tcW w:w="3936" w:type="dxa"/>
          </w:tcPr>
          <w:p w:rsidR="0082597E" w:rsidRPr="0082597E" w:rsidRDefault="0082597E" w:rsidP="00946047">
            <w:pPr>
              <w:pStyle w:val="Standardparatable"/>
              <w:ind w:right="0"/>
              <w:rPr>
                <w:sz w:val="18"/>
                <w:szCs w:val="18"/>
              </w:rPr>
            </w:pPr>
            <w:r w:rsidRPr="0082597E">
              <w:rPr>
                <w:sz w:val="18"/>
                <w:szCs w:val="18"/>
              </w:rPr>
              <w:t>Site acquisition:</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82597E">
        <w:tc>
          <w:tcPr>
            <w:tcW w:w="3936" w:type="dxa"/>
          </w:tcPr>
          <w:p w:rsidR="0082597E" w:rsidRPr="0082597E" w:rsidRDefault="00013F42" w:rsidP="00013F42">
            <w:pPr>
              <w:pStyle w:val="Standardparatable"/>
              <w:ind w:right="0"/>
              <w:rPr>
                <w:sz w:val="18"/>
                <w:szCs w:val="18"/>
              </w:rPr>
            </w:pPr>
            <w:r>
              <w:rPr>
                <w:sz w:val="18"/>
                <w:szCs w:val="18"/>
              </w:rPr>
              <w:t>E</w:t>
            </w:r>
            <w:r w:rsidR="0082597E" w:rsidRPr="0082597E">
              <w:rPr>
                <w:sz w:val="18"/>
                <w:szCs w:val="18"/>
              </w:rPr>
              <w:t>nabling works</w:t>
            </w:r>
            <w:r>
              <w:rPr>
                <w:sz w:val="18"/>
                <w:szCs w:val="18"/>
              </w:rPr>
              <w:t xml:space="preserve"> not included in cost plan</w:t>
            </w:r>
            <w:r w:rsidR="0082597E" w:rsidRPr="0082597E">
              <w:rPr>
                <w:sz w:val="18"/>
                <w:szCs w:val="18"/>
              </w:rPr>
              <w:t>:</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C56E3D">
        <w:tc>
          <w:tcPr>
            <w:tcW w:w="3936" w:type="dxa"/>
          </w:tcPr>
          <w:p w:rsidR="0082597E" w:rsidRPr="0082597E" w:rsidRDefault="0082597E" w:rsidP="00946047">
            <w:pPr>
              <w:pStyle w:val="Standardparatable"/>
              <w:ind w:right="0"/>
              <w:rPr>
                <w:sz w:val="18"/>
                <w:szCs w:val="18"/>
              </w:rPr>
            </w:pPr>
            <w:r w:rsidRPr="0082597E">
              <w:rPr>
                <w:sz w:val="18"/>
                <w:szCs w:val="18"/>
              </w:rPr>
              <w:t>Additional itemised costs:</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C56E3D">
        <w:tc>
          <w:tcPr>
            <w:tcW w:w="3936" w:type="dxa"/>
            <w:shd w:val="clear" w:color="auto" w:fill="92CDDC" w:themeFill="accent5" w:themeFillTint="99"/>
          </w:tcPr>
          <w:p w:rsidR="0082597E" w:rsidRPr="0082597E" w:rsidRDefault="0082597E" w:rsidP="00946047">
            <w:pPr>
              <w:pStyle w:val="Standardparatable"/>
              <w:ind w:right="0"/>
              <w:rPr>
                <w:b/>
                <w:sz w:val="18"/>
                <w:szCs w:val="18"/>
              </w:rPr>
            </w:pPr>
            <w:r w:rsidRPr="0082597E">
              <w:rPr>
                <w:b/>
                <w:sz w:val="18"/>
                <w:szCs w:val="18"/>
              </w:rPr>
              <w:t>Total Other Construction Related Costs:</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C56E3D">
        <w:tc>
          <w:tcPr>
            <w:tcW w:w="3936" w:type="dxa"/>
          </w:tcPr>
          <w:p w:rsidR="0082597E" w:rsidRPr="0082597E" w:rsidRDefault="0082597E" w:rsidP="00946047">
            <w:pPr>
              <w:pStyle w:val="Standardparatable"/>
              <w:ind w:right="0"/>
              <w:rPr>
                <w:sz w:val="18"/>
                <w:szCs w:val="18"/>
              </w:rPr>
            </w:pPr>
            <w:r w:rsidRPr="0082597E">
              <w:rPr>
                <w:sz w:val="18"/>
                <w:szCs w:val="18"/>
              </w:rPr>
              <w:t>Furniture</w:t>
            </w:r>
            <w:r w:rsidR="00013F42">
              <w:rPr>
                <w:sz w:val="18"/>
                <w:szCs w:val="18"/>
              </w:rPr>
              <w:t xml:space="preserve"> not included in Cost Plan</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82597E">
        <w:tc>
          <w:tcPr>
            <w:tcW w:w="3936" w:type="dxa"/>
          </w:tcPr>
          <w:p w:rsidR="0082597E" w:rsidRPr="0082597E" w:rsidRDefault="0082597E" w:rsidP="00946047">
            <w:pPr>
              <w:pStyle w:val="Standardparatable"/>
              <w:ind w:right="0"/>
              <w:rPr>
                <w:sz w:val="18"/>
                <w:szCs w:val="18"/>
              </w:rPr>
            </w:pPr>
            <w:r w:rsidRPr="0082597E">
              <w:rPr>
                <w:sz w:val="18"/>
                <w:szCs w:val="18"/>
              </w:rPr>
              <w:t>IM&amp;T</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82597E">
        <w:tc>
          <w:tcPr>
            <w:tcW w:w="3936" w:type="dxa"/>
          </w:tcPr>
          <w:p w:rsidR="0082597E" w:rsidRPr="0082597E" w:rsidRDefault="0082597E" w:rsidP="00946047">
            <w:pPr>
              <w:pStyle w:val="Standardparatable"/>
              <w:ind w:right="0"/>
              <w:rPr>
                <w:sz w:val="18"/>
                <w:szCs w:val="18"/>
              </w:rPr>
            </w:pPr>
            <w:r w:rsidRPr="0082597E">
              <w:rPr>
                <w:sz w:val="18"/>
                <w:szCs w:val="18"/>
              </w:rPr>
              <w:t>Medical Equipment</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75571D" w:rsidRPr="0082597E" w:rsidTr="0082597E">
        <w:tc>
          <w:tcPr>
            <w:tcW w:w="3936" w:type="dxa"/>
          </w:tcPr>
          <w:p w:rsidR="0075571D" w:rsidRPr="0082597E" w:rsidRDefault="0075571D" w:rsidP="00946047">
            <w:pPr>
              <w:pStyle w:val="Standardparatable"/>
              <w:ind w:right="0"/>
              <w:rPr>
                <w:sz w:val="18"/>
                <w:szCs w:val="18"/>
              </w:rPr>
            </w:pPr>
            <w:r>
              <w:rPr>
                <w:sz w:val="18"/>
                <w:szCs w:val="18"/>
              </w:rPr>
              <w:t>Non-medical Equipment</w:t>
            </w:r>
          </w:p>
        </w:tc>
        <w:tc>
          <w:tcPr>
            <w:tcW w:w="1326" w:type="dxa"/>
            <w:vAlign w:val="center"/>
          </w:tcPr>
          <w:p w:rsidR="0075571D" w:rsidRPr="0082597E" w:rsidRDefault="0075571D" w:rsidP="00946047">
            <w:pPr>
              <w:pStyle w:val="Standardparatable"/>
              <w:ind w:right="0"/>
              <w:jc w:val="center"/>
              <w:rPr>
                <w:sz w:val="18"/>
                <w:szCs w:val="18"/>
              </w:rPr>
            </w:pPr>
          </w:p>
        </w:tc>
        <w:tc>
          <w:tcPr>
            <w:tcW w:w="1327" w:type="dxa"/>
            <w:vAlign w:val="center"/>
          </w:tcPr>
          <w:p w:rsidR="0075571D" w:rsidRPr="0082597E" w:rsidRDefault="0075571D" w:rsidP="00946047">
            <w:pPr>
              <w:pStyle w:val="Standardparatable"/>
              <w:ind w:right="0"/>
              <w:jc w:val="center"/>
              <w:rPr>
                <w:sz w:val="18"/>
                <w:szCs w:val="18"/>
              </w:rPr>
            </w:pPr>
          </w:p>
        </w:tc>
        <w:tc>
          <w:tcPr>
            <w:tcW w:w="1326" w:type="dxa"/>
            <w:vAlign w:val="center"/>
          </w:tcPr>
          <w:p w:rsidR="0075571D" w:rsidRPr="0082597E" w:rsidRDefault="0075571D" w:rsidP="00946047">
            <w:pPr>
              <w:pStyle w:val="Standardparatable"/>
              <w:ind w:right="0"/>
              <w:jc w:val="center"/>
              <w:rPr>
                <w:sz w:val="18"/>
                <w:szCs w:val="18"/>
              </w:rPr>
            </w:pPr>
          </w:p>
        </w:tc>
        <w:tc>
          <w:tcPr>
            <w:tcW w:w="1327" w:type="dxa"/>
            <w:vAlign w:val="center"/>
          </w:tcPr>
          <w:p w:rsidR="0075571D" w:rsidRPr="0082597E" w:rsidRDefault="0075571D" w:rsidP="00946047">
            <w:pPr>
              <w:pStyle w:val="Standardparatable"/>
              <w:ind w:right="0"/>
              <w:jc w:val="center"/>
              <w:rPr>
                <w:sz w:val="18"/>
                <w:szCs w:val="18"/>
              </w:rPr>
            </w:pPr>
          </w:p>
        </w:tc>
      </w:tr>
      <w:tr w:rsidR="0082597E" w:rsidRPr="0082597E" w:rsidTr="00C56E3D">
        <w:tc>
          <w:tcPr>
            <w:tcW w:w="3936" w:type="dxa"/>
          </w:tcPr>
          <w:p w:rsidR="0082597E" w:rsidRPr="0082597E" w:rsidRDefault="0082597E" w:rsidP="00946047">
            <w:pPr>
              <w:pStyle w:val="Standardparatable"/>
              <w:ind w:right="0"/>
              <w:rPr>
                <w:sz w:val="18"/>
                <w:szCs w:val="18"/>
              </w:rPr>
            </w:pPr>
            <w:r w:rsidRPr="0082597E">
              <w:rPr>
                <w:sz w:val="18"/>
                <w:szCs w:val="18"/>
              </w:rPr>
              <w:t>Additional itemised costs:</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C56E3D">
        <w:tc>
          <w:tcPr>
            <w:tcW w:w="3936" w:type="dxa"/>
            <w:shd w:val="clear" w:color="auto" w:fill="92CDDC" w:themeFill="accent5" w:themeFillTint="99"/>
          </w:tcPr>
          <w:p w:rsidR="0082597E" w:rsidRPr="0082597E" w:rsidRDefault="0082597E" w:rsidP="00946047">
            <w:pPr>
              <w:pStyle w:val="Standardparatable"/>
              <w:ind w:right="0"/>
              <w:rPr>
                <w:b/>
                <w:sz w:val="18"/>
                <w:szCs w:val="18"/>
              </w:rPr>
            </w:pPr>
            <w:r w:rsidRPr="0082597E">
              <w:rPr>
                <w:b/>
                <w:sz w:val="18"/>
                <w:szCs w:val="18"/>
              </w:rPr>
              <w:t>Total Furniture &amp; Equipment Costs:</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C56E3D">
        <w:tc>
          <w:tcPr>
            <w:tcW w:w="3936" w:type="dxa"/>
          </w:tcPr>
          <w:p w:rsidR="0082597E" w:rsidRPr="0082597E" w:rsidRDefault="0082597E" w:rsidP="00946047">
            <w:pPr>
              <w:pStyle w:val="Standardparatable"/>
              <w:ind w:right="0"/>
              <w:rPr>
                <w:sz w:val="18"/>
                <w:szCs w:val="18"/>
              </w:rPr>
            </w:pPr>
            <w:r w:rsidRPr="0082597E">
              <w:rPr>
                <w:sz w:val="18"/>
                <w:szCs w:val="18"/>
              </w:rPr>
              <w:t>Additional Quantified Risk:</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3E3957" w:rsidRPr="0082597E" w:rsidTr="00C56E3D">
        <w:tc>
          <w:tcPr>
            <w:tcW w:w="3936" w:type="dxa"/>
          </w:tcPr>
          <w:p w:rsidR="003E3957" w:rsidRDefault="003E3957" w:rsidP="00946047">
            <w:pPr>
              <w:pStyle w:val="Standardparatable"/>
              <w:ind w:right="0"/>
              <w:contextualSpacing/>
              <w:rPr>
                <w:sz w:val="18"/>
                <w:szCs w:val="18"/>
              </w:rPr>
            </w:pPr>
            <w:r>
              <w:rPr>
                <w:sz w:val="18"/>
                <w:szCs w:val="18"/>
              </w:rPr>
              <w:t xml:space="preserve">Allowance for Un-quantified risk </w:t>
            </w:r>
          </w:p>
          <w:p w:rsidR="003E3957" w:rsidRPr="0082597E" w:rsidRDefault="003E3957" w:rsidP="00946047">
            <w:pPr>
              <w:pStyle w:val="Standardparatable"/>
              <w:ind w:right="0"/>
              <w:rPr>
                <w:sz w:val="18"/>
                <w:szCs w:val="18"/>
              </w:rPr>
            </w:pPr>
            <w:r>
              <w:rPr>
                <w:sz w:val="18"/>
                <w:szCs w:val="18"/>
              </w:rPr>
              <w:t xml:space="preserve">(Optimism Bias) </w:t>
            </w:r>
          </w:p>
        </w:tc>
        <w:tc>
          <w:tcPr>
            <w:tcW w:w="1326" w:type="dxa"/>
            <w:vAlign w:val="center"/>
          </w:tcPr>
          <w:p w:rsidR="003E3957" w:rsidRPr="0082597E" w:rsidRDefault="003E3957" w:rsidP="00946047">
            <w:pPr>
              <w:pStyle w:val="Standardparatable"/>
              <w:ind w:right="0"/>
              <w:jc w:val="center"/>
              <w:rPr>
                <w:sz w:val="18"/>
                <w:szCs w:val="18"/>
              </w:rPr>
            </w:pPr>
          </w:p>
        </w:tc>
        <w:tc>
          <w:tcPr>
            <w:tcW w:w="1327" w:type="dxa"/>
            <w:vAlign w:val="center"/>
          </w:tcPr>
          <w:p w:rsidR="003E3957" w:rsidRPr="0082597E" w:rsidRDefault="003E3957" w:rsidP="00946047">
            <w:pPr>
              <w:pStyle w:val="Standardparatable"/>
              <w:ind w:right="0"/>
              <w:jc w:val="center"/>
              <w:rPr>
                <w:sz w:val="18"/>
                <w:szCs w:val="18"/>
              </w:rPr>
            </w:pPr>
          </w:p>
        </w:tc>
        <w:tc>
          <w:tcPr>
            <w:tcW w:w="1326" w:type="dxa"/>
            <w:vAlign w:val="center"/>
          </w:tcPr>
          <w:p w:rsidR="003E3957" w:rsidRPr="0082597E" w:rsidRDefault="003E3957" w:rsidP="00946047">
            <w:pPr>
              <w:pStyle w:val="Standardparatable"/>
              <w:ind w:right="0"/>
              <w:jc w:val="center"/>
              <w:rPr>
                <w:sz w:val="18"/>
                <w:szCs w:val="18"/>
              </w:rPr>
            </w:pPr>
          </w:p>
        </w:tc>
        <w:tc>
          <w:tcPr>
            <w:tcW w:w="1327" w:type="dxa"/>
            <w:vAlign w:val="center"/>
          </w:tcPr>
          <w:p w:rsidR="003E3957" w:rsidRPr="0082597E" w:rsidRDefault="003E3957" w:rsidP="00946047">
            <w:pPr>
              <w:pStyle w:val="Standardparatable"/>
              <w:ind w:right="0"/>
              <w:jc w:val="center"/>
              <w:rPr>
                <w:sz w:val="18"/>
                <w:szCs w:val="18"/>
              </w:rPr>
            </w:pPr>
          </w:p>
        </w:tc>
      </w:tr>
      <w:tr w:rsidR="0082597E" w:rsidRPr="0082597E" w:rsidTr="003E3957">
        <w:tc>
          <w:tcPr>
            <w:tcW w:w="3936" w:type="dxa"/>
            <w:tcBorders>
              <w:bottom w:val="single" w:sz="6" w:space="0" w:color="auto"/>
            </w:tcBorders>
            <w:shd w:val="clear" w:color="auto" w:fill="92CDDC" w:themeFill="accent5" w:themeFillTint="99"/>
          </w:tcPr>
          <w:p w:rsidR="0082597E" w:rsidRPr="0082597E" w:rsidRDefault="00C56E3D" w:rsidP="00946047">
            <w:pPr>
              <w:pStyle w:val="Standardparatable"/>
              <w:ind w:right="0"/>
              <w:rPr>
                <w:b/>
                <w:sz w:val="18"/>
                <w:szCs w:val="18"/>
              </w:rPr>
            </w:pPr>
            <w:r>
              <w:rPr>
                <w:b/>
                <w:sz w:val="18"/>
                <w:szCs w:val="18"/>
              </w:rPr>
              <w:t>Total Cost before VAT</w:t>
            </w:r>
            <w:r w:rsidR="003E3957">
              <w:rPr>
                <w:b/>
                <w:sz w:val="18"/>
                <w:szCs w:val="18"/>
              </w:rPr>
              <w:t xml:space="preserve"> &amp; </w:t>
            </w:r>
            <w:r w:rsidR="0082597E" w:rsidRPr="0082597E">
              <w:rPr>
                <w:b/>
                <w:sz w:val="18"/>
                <w:szCs w:val="18"/>
              </w:rPr>
              <w:t>Fees:</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207EFD" w:rsidRPr="0082597E" w:rsidTr="003E3957">
        <w:tc>
          <w:tcPr>
            <w:tcW w:w="3936" w:type="dxa"/>
            <w:tcBorders>
              <w:top w:val="single" w:sz="6" w:space="0" w:color="auto"/>
              <w:bottom w:val="single" w:sz="6" w:space="0" w:color="auto"/>
            </w:tcBorders>
            <w:shd w:val="clear" w:color="auto" w:fill="auto"/>
          </w:tcPr>
          <w:p w:rsidR="00207EFD" w:rsidRPr="003E3957" w:rsidRDefault="008015F2" w:rsidP="00946047">
            <w:pPr>
              <w:pStyle w:val="Standardparatable"/>
              <w:ind w:right="0"/>
              <w:rPr>
                <w:sz w:val="18"/>
                <w:szCs w:val="18"/>
              </w:rPr>
            </w:pPr>
            <w:r>
              <w:rPr>
                <w:sz w:val="18"/>
                <w:szCs w:val="18"/>
              </w:rPr>
              <w:t>Move-</w:t>
            </w:r>
            <w:r w:rsidR="00207EFD" w:rsidRPr="003E3957">
              <w:rPr>
                <w:sz w:val="18"/>
                <w:szCs w:val="18"/>
              </w:rPr>
              <w:t>in costs and double running cost for migration of services</w:t>
            </w:r>
            <w:r w:rsidR="003E3957">
              <w:rPr>
                <w:sz w:val="18"/>
                <w:szCs w:val="18"/>
              </w:rPr>
              <w:t>:</w:t>
            </w:r>
          </w:p>
        </w:tc>
        <w:tc>
          <w:tcPr>
            <w:tcW w:w="1326" w:type="dxa"/>
            <w:vAlign w:val="center"/>
          </w:tcPr>
          <w:p w:rsidR="00207EFD" w:rsidRPr="0082597E" w:rsidRDefault="00207EFD" w:rsidP="00946047">
            <w:pPr>
              <w:pStyle w:val="Standardparatable"/>
              <w:ind w:right="0"/>
              <w:jc w:val="center"/>
              <w:rPr>
                <w:sz w:val="18"/>
                <w:szCs w:val="18"/>
              </w:rPr>
            </w:pPr>
          </w:p>
        </w:tc>
        <w:tc>
          <w:tcPr>
            <w:tcW w:w="1327" w:type="dxa"/>
            <w:vAlign w:val="center"/>
          </w:tcPr>
          <w:p w:rsidR="00207EFD" w:rsidRPr="0082597E" w:rsidRDefault="00207EFD" w:rsidP="00946047">
            <w:pPr>
              <w:pStyle w:val="Standardparatable"/>
              <w:ind w:right="0"/>
              <w:jc w:val="center"/>
              <w:rPr>
                <w:sz w:val="18"/>
                <w:szCs w:val="18"/>
              </w:rPr>
            </w:pPr>
          </w:p>
        </w:tc>
        <w:tc>
          <w:tcPr>
            <w:tcW w:w="1326" w:type="dxa"/>
            <w:vAlign w:val="center"/>
          </w:tcPr>
          <w:p w:rsidR="00207EFD" w:rsidRPr="0082597E" w:rsidRDefault="00207EFD" w:rsidP="00946047">
            <w:pPr>
              <w:pStyle w:val="Standardparatable"/>
              <w:ind w:right="0"/>
              <w:jc w:val="center"/>
              <w:rPr>
                <w:sz w:val="18"/>
                <w:szCs w:val="18"/>
              </w:rPr>
            </w:pPr>
          </w:p>
        </w:tc>
        <w:tc>
          <w:tcPr>
            <w:tcW w:w="1327" w:type="dxa"/>
            <w:vAlign w:val="center"/>
          </w:tcPr>
          <w:p w:rsidR="00207EFD" w:rsidRPr="0082597E" w:rsidRDefault="00207EFD" w:rsidP="00946047">
            <w:pPr>
              <w:pStyle w:val="Standardparatable"/>
              <w:ind w:right="0"/>
              <w:jc w:val="center"/>
              <w:rPr>
                <w:sz w:val="18"/>
                <w:szCs w:val="18"/>
              </w:rPr>
            </w:pPr>
          </w:p>
        </w:tc>
      </w:tr>
      <w:tr w:rsidR="0082597E" w:rsidRPr="0082597E" w:rsidTr="003E3957">
        <w:tc>
          <w:tcPr>
            <w:tcW w:w="3936" w:type="dxa"/>
            <w:tcBorders>
              <w:top w:val="single" w:sz="6" w:space="0" w:color="auto"/>
            </w:tcBorders>
          </w:tcPr>
          <w:p w:rsidR="0082597E" w:rsidRPr="0082597E" w:rsidRDefault="0082597E" w:rsidP="00946047">
            <w:pPr>
              <w:pStyle w:val="Standardparatable"/>
              <w:ind w:right="0"/>
              <w:rPr>
                <w:sz w:val="18"/>
                <w:szCs w:val="18"/>
              </w:rPr>
            </w:pPr>
            <w:r>
              <w:rPr>
                <w:sz w:val="18"/>
                <w:szCs w:val="18"/>
              </w:rPr>
              <w:t>VAT:</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C56E3D">
        <w:tc>
          <w:tcPr>
            <w:tcW w:w="3936" w:type="dxa"/>
          </w:tcPr>
          <w:p w:rsidR="0082597E" w:rsidRPr="0082597E" w:rsidRDefault="00C56E3D" w:rsidP="00946047">
            <w:pPr>
              <w:pStyle w:val="Standardparatable"/>
              <w:ind w:right="0"/>
              <w:rPr>
                <w:sz w:val="18"/>
                <w:szCs w:val="18"/>
              </w:rPr>
            </w:pPr>
            <w:r>
              <w:rPr>
                <w:sz w:val="18"/>
                <w:szCs w:val="18"/>
              </w:rPr>
              <w:t xml:space="preserve">Professional </w:t>
            </w:r>
            <w:r w:rsidR="0082597E">
              <w:rPr>
                <w:sz w:val="18"/>
                <w:szCs w:val="18"/>
              </w:rPr>
              <w:t>Fees:</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r w:rsidR="0082597E" w:rsidRPr="0082597E" w:rsidTr="00C56E3D">
        <w:tc>
          <w:tcPr>
            <w:tcW w:w="3936" w:type="dxa"/>
            <w:shd w:val="clear" w:color="auto" w:fill="92CDDC" w:themeFill="accent5" w:themeFillTint="99"/>
          </w:tcPr>
          <w:p w:rsidR="0082597E" w:rsidRPr="0082597E" w:rsidRDefault="0082597E" w:rsidP="00946047">
            <w:pPr>
              <w:pStyle w:val="Standardparatable"/>
              <w:ind w:right="0"/>
              <w:rPr>
                <w:b/>
                <w:sz w:val="18"/>
                <w:szCs w:val="18"/>
              </w:rPr>
            </w:pPr>
            <w:r w:rsidRPr="0082597E">
              <w:rPr>
                <w:b/>
                <w:sz w:val="18"/>
                <w:szCs w:val="18"/>
              </w:rPr>
              <w:t>Total Estimated / Actual Cost:</w:t>
            </w: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c>
          <w:tcPr>
            <w:tcW w:w="1326" w:type="dxa"/>
            <w:vAlign w:val="center"/>
          </w:tcPr>
          <w:p w:rsidR="0082597E" w:rsidRPr="0082597E" w:rsidRDefault="0082597E" w:rsidP="00946047">
            <w:pPr>
              <w:pStyle w:val="Standardparatable"/>
              <w:ind w:right="0"/>
              <w:jc w:val="center"/>
              <w:rPr>
                <w:sz w:val="18"/>
                <w:szCs w:val="18"/>
              </w:rPr>
            </w:pPr>
          </w:p>
        </w:tc>
        <w:tc>
          <w:tcPr>
            <w:tcW w:w="1327" w:type="dxa"/>
            <w:vAlign w:val="center"/>
          </w:tcPr>
          <w:p w:rsidR="0082597E" w:rsidRPr="0082597E" w:rsidRDefault="0082597E" w:rsidP="00946047">
            <w:pPr>
              <w:pStyle w:val="Standardparatable"/>
              <w:ind w:right="0"/>
              <w:jc w:val="center"/>
              <w:rPr>
                <w:sz w:val="18"/>
                <w:szCs w:val="18"/>
              </w:rPr>
            </w:pPr>
          </w:p>
        </w:tc>
      </w:tr>
    </w:tbl>
    <w:p w:rsidR="004B6392" w:rsidRDefault="004B6392" w:rsidP="00C56E3D">
      <w:pPr>
        <w:pStyle w:val="NoSpacing"/>
      </w:pPr>
    </w:p>
    <w:p w:rsidR="00E04955" w:rsidRDefault="003E3957" w:rsidP="004B6392">
      <w:pPr>
        <w:pStyle w:val="Standardparagraph"/>
      </w:pPr>
      <w:r>
        <w:t>An explanation is needed of</w:t>
      </w:r>
      <w:r w:rsidR="00C56E3D">
        <w:t xml:space="preserve"> all significant cost changes between </w:t>
      </w:r>
      <w:r w:rsidR="00F42967">
        <w:t>each stage</w:t>
      </w:r>
      <w:r w:rsidR="00C56E3D">
        <w:t>.</w:t>
      </w:r>
    </w:p>
    <w:p w:rsidR="00E04955" w:rsidRDefault="00E04955" w:rsidP="00E04955">
      <w:pPr>
        <w:pStyle w:val="Standardparagraphheading"/>
      </w:pPr>
      <w:r>
        <w:lastRenderedPageBreak/>
        <w:t>Operational Revenue Cost Monitoring Form:</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36"/>
        <w:gridCol w:w="1326"/>
        <w:gridCol w:w="1327"/>
        <w:gridCol w:w="1326"/>
        <w:gridCol w:w="1327"/>
      </w:tblGrid>
      <w:tr w:rsidR="00E04955" w:rsidRPr="0082597E" w:rsidTr="00B127C1">
        <w:tc>
          <w:tcPr>
            <w:tcW w:w="3936" w:type="dxa"/>
            <w:shd w:val="clear" w:color="auto" w:fill="31849B" w:themeFill="accent5" w:themeFillShade="BF"/>
          </w:tcPr>
          <w:p w:rsidR="00E04955" w:rsidRPr="0082597E" w:rsidRDefault="00E04955" w:rsidP="00B127C1">
            <w:pPr>
              <w:pStyle w:val="Standardparatable"/>
              <w:ind w:right="0"/>
              <w:jc w:val="right"/>
              <w:rPr>
                <w:b/>
                <w:color w:val="FFFFFF" w:themeColor="background1"/>
                <w:sz w:val="20"/>
                <w:szCs w:val="20"/>
              </w:rPr>
            </w:pPr>
            <w:r w:rsidRPr="0082597E">
              <w:rPr>
                <w:b/>
                <w:color w:val="FFFFFF" w:themeColor="background1"/>
                <w:sz w:val="20"/>
                <w:szCs w:val="20"/>
              </w:rPr>
              <w:t>Project Title:</w:t>
            </w:r>
          </w:p>
        </w:tc>
        <w:tc>
          <w:tcPr>
            <w:tcW w:w="5306" w:type="dxa"/>
            <w:gridSpan w:val="4"/>
            <w:vAlign w:val="center"/>
          </w:tcPr>
          <w:p w:rsidR="00E04955" w:rsidRPr="0082597E" w:rsidRDefault="00E04955" w:rsidP="00B127C1">
            <w:pPr>
              <w:pStyle w:val="Standardparatable"/>
              <w:rPr>
                <w:b/>
                <w:sz w:val="20"/>
                <w:szCs w:val="20"/>
              </w:rPr>
            </w:pPr>
          </w:p>
        </w:tc>
      </w:tr>
      <w:tr w:rsidR="00E04955" w:rsidRPr="0082597E" w:rsidTr="00B127C1">
        <w:tc>
          <w:tcPr>
            <w:tcW w:w="3936" w:type="dxa"/>
            <w:tcBorders>
              <w:bottom w:val="single" w:sz="6" w:space="0" w:color="auto"/>
            </w:tcBorders>
            <w:shd w:val="clear" w:color="auto" w:fill="31849B" w:themeFill="accent5" w:themeFillShade="BF"/>
          </w:tcPr>
          <w:p w:rsidR="00E04955" w:rsidRPr="0082597E" w:rsidRDefault="00E04955" w:rsidP="00B127C1">
            <w:pPr>
              <w:pStyle w:val="Standardparatable"/>
              <w:ind w:right="0"/>
              <w:jc w:val="right"/>
              <w:rPr>
                <w:b/>
                <w:color w:val="FFFFFF" w:themeColor="background1"/>
                <w:sz w:val="20"/>
                <w:szCs w:val="20"/>
              </w:rPr>
            </w:pPr>
            <w:r w:rsidRPr="0082597E">
              <w:rPr>
                <w:b/>
                <w:color w:val="FFFFFF" w:themeColor="background1"/>
                <w:sz w:val="20"/>
                <w:szCs w:val="20"/>
              </w:rPr>
              <w:t>Floor Area (GIA):</w:t>
            </w:r>
          </w:p>
        </w:tc>
        <w:tc>
          <w:tcPr>
            <w:tcW w:w="5306" w:type="dxa"/>
            <w:gridSpan w:val="4"/>
            <w:vAlign w:val="center"/>
          </w:tcPr>
          <w:p w:rsidR="00E04955" w:rsidRPr="0082597E" w:rsidRDefault="00E04955" w:rsidP="00B127C1">
            <w:pPr>
              <w:pStyle w:val="Standardparatable"/>
              <w:rPr>
                <w:sz w:val="20"/>
                <w:szCs w:val="20"/>
              </w:rPr>
            </w:pPr>
          </w:p>
        </w:tc>
      </w:tr>
      <w:tr w:rsidR="00E04955" w:rsidRPr="0082597E" w:rsidTr="00B127C1">
        <w:tc>
          <w:tcPr>
            <w:tcW w:w="3936" w:type="dxa"/>
            <w:tcBorders>
              <w:top w:val="single" w:sz="6" w:space="0" w:color="auto"/>
              <w:bottom w:val="single" w:sz="6" w:space="0" w:color="auto"/>
            </w:tcBorders>
            <w:shd w:val="clear" w:color="auto" w:fill="31849B" w:themeFill="accent5" w:themeFillShade="BF"/>
          </w:tcPr>
          <w:p w:rsidR="00E04955" w:rsidRPr="0082597E" w:rsidRDefault="00E04955" w:rsidP="00B127C1">
            <w:pPr>
              <w:pStyle w:val="Standardparatable"/>
              <w:jc w:val="center"/>
              <w:rPr>
                <w:b/>
                <w:sz w:val="18"/>
                <w:szCs w:val="18"/>
              </w:rPr>
            </w:pPr>
          </w:p>
        </w:tc>
        <w:tc>
          <w:tcPr>
            <w:tcW w:w="1326" w:type="dxa"/>
            <w:shd w:val="clear" w:color="auto" w:fill="31849B" w:themeFill="accent5" w:themeFillShade="BF"/>
            <w:vAlign w:val="center"/>
          </w:tcPr>
          <w:p w:rsidR="00E04955" w:rsidRPr="0082597E" w:rsidRDefault="00E04955" w:rsidP="00B127C1">
            <w:pPr>
              <w:pStyle w:val="Standardparatable"/>
              <w:ind w:right="0"/>
              <w:jc w:val="center"/>
              <w:rPr>
                <w:b/>
                <w:color w:val="FFFFFF" w:themeColor="background1"/>
                <w:sz w:val="20"/>
                <w:szCs w:val="20"/>
              </w:rPr>
            </w:pPr>
            <w:r>
              <w:rPr>
                <w:b/>
                <w:color w:val="FFFFFF" w:themeColor="background1"/>
                <w:sz w:val="20"/>
                <w:szCs w:val="20"/>
              </w:rPr>
              <w:t>Existing</w:t>
            </w:r>
          </w:p>
        </w:tc>
        <w:tc>
          <w:tcPr>
            <w:tcW w:w="1327" w:type="dxa"/>
            <w:shd w:val="clear" w:color="auto" w:fill="31849B" w:themeFill="accent5" w:themeFillShade="BF"/>
            <w:vAlign w:val="center"/>
          </w:tcPr>
          <w:p w:rsidR="00E04955" w:rsidRPr="0082597E" w:rsidRDefault="00E04955" w:rsidP="00B127C1">
            <w:pPr>
              <w:pStyle w:val="Standardparatable"/>
              <w:ind w:right="0"/>
              <w:jc w:val="center"/>
              <w:rPr>
                <w:b/>
                <w:color w:val="FFFFFF" w:themeColor="background1"/>
                <w:sz w:val="20"/>
                <w:szCs w:val="20"/>
              </w:rPr>
            </w:pPr>
            <w:r w:rsidRPr="0082597E">
              <w:rPr>
                <w:b/>
                <w:color w:val="FFFFFF" w:themeColor="background1"/>
                <w:sz w:val="20"/>
                <w:szCs w:val="20"/>
              </w:rPr>
              <w:t>OBC</w:t>
            </w:r>
          </w:p>
        </w:tc>
        <w:tc>
          <w:tcPr>
            <w:tcW w:w="1326" w:type="dxa"/>
            <w:shd w:val="clear" w:color="auto" w:fill="31849B" w:themeFill="accent5" w:themeFillShade="BF"/>
            <w:vAlign w:val="center"/>
          </w:tcPr>
          <w:p w:rsidR="00E04955" w:rsidRPr="0082597E" w:rsidRDefault="00E04955" w:rsidP="00B127C1">
            <w:pPr>
              <w:pStyle w:val="Standardparatable"/>
              <w:ind w:right="0"/>
              <w:jc w:val="center"/>
              <w:rPr>
                <w:b/>
                <w:color w:val="FFFFFF" w:themeColor="background1"/>
                <w:sz w:val="20"/>
                <w:szCs w:val="20"/>
              </w:rPr>
            </w:pPr>
            <w:r w:rsidRPr="0082597E">
              <w:rPr>
                <w:b/>
                <w:color w:val="FFFFFF" w:themeColor="background1"/>
                <w:sz w:val="20"/>
                <w:szCs w:val="20"/>
              </w:rPr>
              <w:t>FBC</w:t>
            </w:r>
          </w:p>
        </w:tc>
        <w:tc>
          <w:tcPr>
            <w:tcW w:w="1327" w:type="dxa"/>
            <w:shd w:val="clear" w:color="auto" w:fill="31849B" w:themeFill="accent5" w:themeFillShade="BF"/>
            <w:vAlign w:val="center"/>
          </w:tcPr>
          <w:p w:rsidR="00E04955" w:rsidRPr="0082597E" w:rsidRDefault="00E04955" w:rsidP="00B127C1">
            <w:pPr>
              <w:pStyle w:val="Standardparatable"/>
              <w:ind w:right="0"/>
              <w:jc w:val="center"/>
              <w:rPr>
                <w:b/>
                <w:color w:val="FFFFFF" w:themeColor="background1"/>
                <w:sz w:val="20"/>
                <w:szCs w:val="20"/>
              </w:rPr>
            </w:pPr>
            <w:r w:rsidRPr="0082597E">
              <w:rPr>
                <w:b/>
                <w:color w:val="FFFFFF" w:themeColor="background1"/>
                <w:sz w:val="20"/>
                <w:szCs w:val="20"/>
              </w:rPr>
              <w:t>Actual</w:t>
            </w:r>
          </w:p>
        </w:tc>
      </w:tr>
      <w:tr w:rsidR="00E04955" w:rsidRPr="0082597E" w:rsidTr="00B127C1">
        <w:tc>
          <w:tcPr>
            <w:tcW w:w="3936" w:type="dxa"/>
            <w:tcBorders>
              <w:top w:val="single" w:sz="6" w:space="0" w:color="auto"/>
            </w:tcBorders>
          </w:tcPr>
          <w:p w:rsidR="00E04955" w:rsidRPr="0082597E" w:rsidRDefault="00E04955" w:rsidP="00B127C1">
            <w:pPr>
              <w:pStyle w:val="Standardparatable"/>
              <w:ind w:right="0"/>
              <w:rPr>
                <w:sz w:val="18"/>
                <w:szCs w:val="18"/>
              </w:rPr>
            </w:pPr>
            <w:r>
              <w:rPr>
                <w:sz w:val="18"/>
                <w:szCs w:val="18"/>
              </w:rPr>
              <w:t>Clinical Services staff costs:</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tcPr>
          <w:p w:rsidR="00E04955" w:rsidRPr="0082597E" w:rsidRDefault="00E04955" w:rsidP="00B127C1">
            <w:pPr>
              <w:pStyle w:val="Standardparatable"/>
              <w:tabs>
                <w:tab w:val="clear" w:pos="720"/>
                <w:tab w:val="left" w:pos="284"/>
              </w:tabs>
              <w:ind w:left="284" w:right="0"/>
              <w:rPr>
                <w:i/>
                <w:sz w:val="18"/>
                <w:szCs w:val="18"/>
              </w:rPr>
            </w:pPr>
            <w:r w:rsidRPr="0082597E">
              <w:rPr>
                <w:i/>
                <w:sz w:val="18"/>
                <w:szCs w:val="18"/>
              </w:rPr>
              <w:t>Additional itemised costs:</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tcPr>
          <w:p w:rsidR="00E04955" w:rsidRPr="0082597E" w:rsidRDefault="00E04955" w:rsidP="00B127C1">
            <w:pPr>
              <w:pStyle w:val="Standardparatable"/>
              <w:ind w:right="0"/>
              <w:rPr>
                <w:sz w:val="18"/>
                <w:szCs w:val="18"/>
              </w:rPr>
            </w:pPr>
            <w:r>
              <w:rPr>
                <w:sz w:val="18"/>
                <w:szCs w:val="18"/>
              </w:rPr>
              <w:t>Non-Clinical Services staff costs</w:t>
            </w:r>
            <w:r w:rsidRPr="0082597E">
              <w:rPr>
                <w:sz w:val="18"/>
                <w:szCs w:val="18"/>
              </w:rPr>
              <w:t>:</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tcPr>
          <w:p w:rsidR="00E04955" w:rsidRPr="0082597E" w:rsidRDefault="00E04955" w:rsidP="00B127C1">
            <w:pPr>
              <w:pStyle w:val="Standardparatable"/>
              <w:ind w:left="284" w:right="0"/>
              <w:rPr>
                <w:sz w:val="18"/>
                <w:szCs w:val="18"/>
              </w:rPr>
            </w:pPr>
            <w:r w:rsidRPr="0082597E">
              <w:rPr>
                <w:i/>
                <w:sz w:val="18"/>
                <w:szCs w:val="18"/>
              </w:rPr>
              <w:t>Additional itemised costs:</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tcPr>
          <w:p w:rsidR="00E04955" w:rsidRPr="0082597E" w:rsidRDefault="00E04955" w:rsidP="00B127C1">
            <w:pPr>
              <w:pStyle w:val="Standardparatable"/>
              <w:ind w:right="0"/>
              <w:rPr>
                <w:sz w:val="18"/>
                <w:szCs w:val="18"/>
              </w:rPr>
            </w:pPr>
            <w:r>
              <w:rPr>
                <w:sz w:val="18"/>
                <w:szCs w:val="18"/>
              </w:rPr>
              <w:t>Building occupancy / running costs</w:t>
            </w:r>
            <w:r w:rsidRPr="0082597E">
              <w:rPr>
                <w:sz w:val="18"/>
                <w:szCs w:val="18"/>
              </w:rPr>
              <w:t>:</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tcPr>
          <w:p w:rsidR="00E04955" w:rsidRPr="006457AC" w:rsidRDefault="00E04955" w:rsidP="00B127C1">
            <w:pPr>
              <w:pStyle w:val="Standardparatable"/>
              <w:tabs>
                <w:tab w:val="clear" w:pos="720"/>
                <w:tab w:val="left" w:pos="284"/>
              </w:tabs>
              <w:ind w:left="284" w:right="0"/>
              <w:rPr>
                <w:i/>
                <w:sz w:val="18"/>
                <w:szCs w:val="18"/>
              </w:rPr>
            </w:pPr>
            <w:r w:rsidRPr="006457AC">
              <w:rPr>
                <w:i/>
                <w:sz w:val="18"/>
                <w:szCs w:val="18"/>
              </w:rPr>
              <w:t>Additional itemised costs:</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tcPr>
          <w:p w:rsidR="00E04955" w:rsidRPr="0082597E" w:rsidRDefault="00E04955" w:rsidP="00B127C1">
            <w:pPr>
              <w:pStyle w:val="Standardparatable"/>
              <w:ind w:right="0"/>
              <w:rPr>
                <w:sz w:val="18"/>
                <w:szCs w:val="18"/>
              </w:rPr>
            </w:pPr>
            <w:r>
              <w:rPr>
                <w:sz w:val="18"/>
                <w:szCs w:val="18"/>
              </w:rPr>
              <w:t>Income contribution / costs:</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tcPr>
          <w:p w:rsidR="00E04955" w:rsidRPr="0082597E" w:rsidRDefault="00E04955" w:rsidP="00B127C1">
            <w:pPr>
              <w:pStyle w:val="Standardparatable"/>
              <w:ind w:right="0"/>
              <w:rPr>
                <w:sz w:val="18"/>
                <w:szCs w:val="18"/>
              </w:rPr>
            </w:pPr>
            <w:r>
              <w:rPr>
                <w:sz w:val="18"/>
                <w:szCs w:val="18"/>
              </w:rPr>
              <w:t>Other recurring costs:</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tcBorders>
              <w:bottom w:val="single" w:sz="6" w:space="0" w:color="auto"/>
            </w:tcBorders>
          </w:tcPr>
          <w:p w:rsidR="00E04955" w:rsidRPr="0082597E" w:rsidRDefault="00E04955" w:rsidP="00B127C1">
            <w:pPr>
              <w:pStyle w:val="Standardparatable"/>
              <w:tabs>
                <w:tab w:val="clear" w:pos="720"/>
                <w:tab w:val="left" w:pos="284"/>
              </w:tabs>
              <w:ind w:left="284" w:right="0"/>
              <w:rPr>
                <w:sz w:val="18"/>
                <w:szCs w:val="18"/>
              </w:rPr>
            </w:pPr>
            <w:r w:rsidRPr="006457AC">
              <w:rPr>
                <w:i/>
                <w:sz w:val="18"/>
                <w:szCs w:val="18"/>
              </w:rPr>
              <w:t>Additional itemised costs:</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tcBorders>
              <w:top w:val="single" w:sz="6" w:space="0" w:color="auto"/>
              <w:bottom w:val="single" w:sz="6" w:space="0" w:color="auto"/>
            </w:tcBorders>
            <w:shd w:val="clear" w:color="auto" w:fill="auto"/>
          </w:tcPr>
          <w:p w:rsidR="00E04955" w:rsidRPr="003E3957" w:rsidRDefault="00E04955" w:rsidP="00B127C1">
            <w:pPr>
              <w:pStyle w:val="Standardparatable"/>
              <w:ind w:right="0"/>
              <w:rPr>
                <w:sz w:val="18"/>
                <w:szCs w:val="18"/>
              </w:rPr>
            </w:pPr>
            <w:r w:rsidRPr="003E3957">
              <w:rPr>
                <w:sz w:val="18"/>
                <w:szCs w:val="18"/>
              </w:rPr>
              <w:t>Allowance for Optimism Bias</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tcBorders>
              <w:top w:val="single" w:sz="6" w:space="0" w:color="auto"/>
            </w:tcBorders>
            <w:shd w:val="clear" w:color="auto" w:fill="92CDDC" w:themeFill="accent5" w:themeFillTint="99"/>
          </w:tcPr>
          <w:p w:rsidR="00E04955" w:rsidRPr="0082597E" w:rsidRDefault="00E04955" w:rsidP="00B127C1">
            <w:pPr>
              <w:pStyle w:val="Standardparatable"/>
              <w:ind w:right="0"/>
              <w:rPr>
                <w:b/>
                <w:sz w:val="18"/>
                <w:szCs w:val="18"/>
              </w:rPr>
            </w:pPr>
            <w:r>
              <w:rPr>
                <w:b/>
                <w:sz w:val="18"/>
                <w:szCs w:val="18"/>
              </w:rPr>
              <w:t>Total Cost before VAT</w:t>
            </w:r>
            <w:r w:rsidRPr="0082597E">
              <w:rPr>
                <w:b/>
                <w:sz w:val="18"/>
                <w:szCs w:val="18"/>
              </w:rPr>
              <w:t>:</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tcPr>
          <w:p w:rsidR="00E04955" w:rsidRPr="0082597E" w:rsidRDefault="00E04955" w:rsidP="00B127C1">
            <w:pPr>
              <w:pStyle w:val="Standardparatable"/>
              <w:ind w:right="0"/>
              <w:rPr>
                <w:sz w:val="18"/>
                <w:szCs w:val="18"/>
              </w:rPr>
            </w:pPr>
            <w:r>
              <w:rPr>
                <w:sz w:val="18"/>
                <w:szCs w:val="18"/>
              </w:rPr>
              <w:t>VAT:</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r w:rsidR="00E04955" w:rsidRPr="0082597E" w:rsidTr="00B127C1">
        <w:tc>
          <w:tcPr>
            <w:tcW w:w="3936" w:type="dxa"/>
            <w:shd w:val="clear" w:color="auto" w:fill="92CDDC" w:themeFill="accent5" w:themeFillTint="99"/>
          </w:tcPr>
          <w:p w:rsidR="00E04955" w:rsidRPr="0082597E" w:rsidRDefault="00E04955" w:rsidP="00B127C1">
            <w:pPr>
              <w:pStyle w:val="Standardparatable"/>
              <w:ind w:right="0"/>
              <w:rPr>
                <w:b/>
                <w:sz w:val="18"/>
                <w:szCs w:val="18"/>
              </w:rPr>
            </w:pPr>
            <w:r w:rsidRPr="0082597E">
              <w:rPr>
                <w:b/>
                <w:sz w:val="18"/>
                <w:szCs w:val="18"/>
              </w:rPr>
              <w:t>Total Estimated / Actual Cost:</w:t>
            </w: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c>
          <w:tcPr>
            <w:tcW w:w="1326" w:type="dxa"/>
            <w:vAlign w:val="center"/>
          </w:tcPr>
          <w:p w:rsidR="00E04955" w:rsidRPr="0082597E" w:rsidRDefault="00E04955" w:rsidP="00B127C1">
            <w:pPr>
              <w:pStyle w:val="Standardparatable"/>
              <w:ind w:right="0"/>
              <w:jc w:val="center"/>
              <w:rPr>
                <w:sz w:val="18"/>
                <w:szCs w:val="18"/>
              </w:rPr>
            </w:pPr>
          </w:p>
        </w:tc>
        <w:tc>
          <w:tcPr>
            <w:tcW w:w="1327" w:type="dxa"/>
            <w:vAlign w:val="center"/>
          </w:tcPr>
          <w:p w:rsidR="00E04955" w:rsidRPr="0082597E" w:rsidRDefault="00E04955" w:rsidP="00B127C1">
            <w:pPr>
              <w:pStyle w:val="Standardparatable"/>
              <w:ind w:right="0"/>
              <w:jc w:val="center"/>
              <w:rPr>
                <w:sz w:val="18"/>
                <w:szCs w:val="18"/>
              </w:rPr>
            </w:pPr>
          </w:p>
        </w:tc>
      </w:tr>
    </w:tbl>
    <w:p w:rsidR="00E04955" w:rsidRDefault="00E04955"/>
    <w:p w:rsidR="00E04955" w:rsidRDefault="00E04955" w:rsidP="00E04955">
      <w:pPr>
        <w:pStyle w:val="Standardparagraph"/>
      </w:pPr>
      <w:r>
        <w:t>An explanation is needed of all significant cost changes between each stage.</w:t>
      </w:r>
      <w:r>
        <w:br w:type="page"/>
      </w:r>
    </w:p>
    <w:p w:rsidR="00D04D8D" w:rsidRDefault="0002066C" w:rsidP="00F42967">
      <w:pPr>
        <w:pStyle w:val="Standardparagraphheading"/>
      </w:pPr>
      <w:r>
        <w:lastRenderedPageBreak/>
        <w:t>Construction Cost Plan</w:t>
      </w:r>
    </w:p>
    <w:tbl>
      <w:tblPr>
        <w:tblStyle w:val="TableGrid"/>
        <w:tblW w:w="10206" w:type="dxa"/>
        <w:tblInd w:w="-459" w:type="dxa"/>
        <w:tblLook w:val="04A0"/>
      </w:tblPr>
      <w:tblGrid>
        <w:gridCol w:w="567"/>
        <w:gridCol w:w="4395"/>
        <w:gridCol w:w="1275"/>
        <w:gridCol w:w="1134"/>
        <w:gridCol w:w="1134"/>
        <w:gridCol w:w="567"/>
        <w:gridCol w:w="1134"/>
      </w:tblGrid>
      <w:tr w:rsidR="0034585B" w:rsidRPr="0034585B" w:rsidTr="006B6EAC">
        <w:tc>
          <w:tcPr>
            <w:tcW w:w="567" w:type="dxa"/>
            <w:vMerge w:val="restart"/>
            <w:shd w:val="clear" w:color="auto" w:fill="92CDDC" w:themeFill="accent5" w:themeFillTint="99"/>
          </w:tcPr>
          <w:p w:rsidR="0034585B" w:rsidRPr="00B902AA" w:rsidRDefault="0034585B" w:rsidP="0034585B">
            <w:pPr>
              <w:pStyle w:val="Standardparagraph"/>
              <w:spacing w:before="40" w:after="40" w:line="240" w:lineRule="auto"/>
              <w:ind w:right="0"/>
              <w:rPr>
                <w:b/>
                <w:sz w:val="16"/>
                <w:szCs w:val="16"/>
              </w:rPr>
            </w:pPr>
          </w:p>
        </w:tc>
        <w:tc>
          <w:tcPr>
            <w:tcW w:w="4395" w:type="dxa"/>
            <w:vMerge w:val="restart"/>
            <w:shd w:val="clear" w:color="auto" w:fill="92CDDC" w:themeFill="accent5" w:themeFillTint="99"/>
          </w:tcPr>
          <w:p w:rsidR="0034585B" w:rsidRPr="00B902AA" w:rsidRDefault="0034585B" w:rsidP="0034585B">
            <w:pPr>
              <w:pStyle w:val="Standardparagraph"/>
              <w:spacing w:before="40" w:after="40" w:line="240" w:lineRule="auto"/>
              <w:ind w:right="0"/>
              <w:rPr>
                <w:b/>
                <w:sz w:val="16"/>
                <w:szCs w:val="16"/>
              </w:rPr>
            </w:pPr>
            <w:r w:rsidRPr="00B902AA">
              <w:rPr>
                <w:b/>
                <w:sz w:val="16"/>
                <w:szCs w:val="16"/>
              </w:rPr>
              <w:t>ELEMENT</w:t>
            </w:r>
          </w:p>
        </w:tc>
        <w:tc>
          <w:tcPr>
            <w:tcW w:w="5244" w:type="dxa"/>
            <w:gridSpan w:val="5"/>
            <w:shd w:val="clear" w:color="auto" w:fill="92CDDC" w:themeFill="accent5" w:themeFillTint="99"/>
            <w:vAlign w:val="center"/>
          </w:tcPr>
          <w:p w:rsidR="0034585B" w:rsidRPr="00B902AA" w:rsidRDefault="0034585B" w:rsidP="0034585B">
            <w:pPr>
              <w:pStyle w:val="Standardparagraph"/>
              <w:spacing w:before="40" w:after="40" w:line="240" w:lineRule="auto"/>
              <w:ind w:right="0"/>
              <w:jc w:val="center"/>
              <w:rPr>
                <w:b/>
                <w:sz w:val="16"/>
                <w:szCs w:val="16"/>
              </w:rPr>
            </w:pPr>
            <w:r w:rsidRPr="00B902AA">
              <w:rPr>
                <w:b/>
                <w:sz w:val="16"/>
                <w:szCs w:val="16"/>
              </w:rPr>
              <w:t>Element</w:t>
            </w:r>
          </w:p>
        </w:tc>
      </w:tr>
      <w:tr w:rsidR="0034585B" w:rsidRPr="0034585B" w:rsidTr="006B6EAC">
        <w:tc>
          <w:tcPr>
            <w:tcW w:w="567" w:type="dxa"/>
            <w:vMerge/>
            <w:tcBorders>
              <w:bottom w:val="single" w:sz="4" w:space="0" w:color="auto"/>
            </w:tcBorders>
            <w:shd w:val="clear" w:color="auto" w:fill="92CDDC" w:themeFill="accent5" w:themeFillTint="99"/>
          </w:tcPr>
          <w:p w:rsidR="0034585B" w:rsidRPr="00B902AA" w:rsidRDefault="0034585B" w:rsidP="0034585B">
            <w:pPr>
              <w:pStyle w:val="Standardparagraph"/>
              <w:spacing w:before="40" w:after="40" w:line="240" w:lineRule="auto"/>
              <w:ind w:right="0"/>
              <w:rPr>
                <w:b/>
                <w:sz w:val="16"/>
                <w:szCs w:val="16"/>
              </w:rPr>
            </w:pPr>
          </w:p>
        </w:tc>
        <w:tc>
          <w:tcPr>
            <w:tcW w:w="4395" w:type="dxa"/>
            <w:vMerge/>
            <w:tcBorders>
              <w:bottom w:val="single" w:sz="4" w:space="0" w:color="auto"/>
            </w:tcBorders>
            <w:shd w:val="clear" w:color="auto" w:fill="92CDDC" w:themeFill="accent5" w:themeFillTint="99"/>
          </w:tcPr>
          <w:p w:rsidR="0034585B" w:rsidRPr="00B902AA" w:rsidRDefault="0034585B" w:rsidP="0034585B">
            <w:pPr>
              <w:pStyle w:val="Standardparagraph"/>
              <w:spacing w:before="40" w:after="40" w:line="240" w:lineRule="auto"/>
              <w:ind w:right="0"/>
              <w:rPr>
                <w:b/>
                <w:sz w:val="16"/>
                <w:szCs w:val="16"/>
              </w:rPr>
            </w:pPr>
          </w:p>
        </w:tc>
        <w:tc>
          <w:tcPr>
            <w:tcW w:w="1275" w:type="dxa"/>
            <w:tcBorders>
              <w:bottom w:val="single" w:sz="4" w:space="0" w:color="auto"/>
            </w:tcBorders>
            <w:shd w:val="clear" w:color="auto" w:fill="92CDDC" w:themeFill="accent5" w:themeFillTint="99"/>
            <w:vAlign w:val="center"/>
          </w:tcPr>
          <w:p w:rsidR="0034585B" w:rsidRPr="00B902AA" w:rsidRDefault="0034585B" w:rsidP="0034585B">
            <w:pPr>
              <w:pStyle w:val="Standardparagraph"/>
              <w:spacing w:before="40" w:after="40" w:line="240" w:lineRule="auto"/>
              <w:ind w:right="0"/>
              <w:jc w:val="center"/>
              <w:rPr>
                <w:b/>
                <w:sz w:val="16"/>
                <w:szCs w:val="16"/>
              </w:rPr>
            </w:pPr>
            <w:r w:rsidRPr="00B902AA">
              <w:rPr>
                <w:b/>
                <w:sz w:val="16"/>
                <w:szCs w:val="16"/>
              </w:rPr>
              <w:t>Total Cost  £</w:t>
            </w:r>
          </w:p>
        </w:tc>
        <w:tc>
          <w:tcPr>
            <w:tcW w:w="1134" w:type="dxa"/>
            <w:tcBorders>
              <w:bottom w:val="single" w:sz="4" w:space="0" w:color="auto"/>
            </w:tcBorders>
            <w:shd w:val="clear" w:color="auto" w:fill="92CDDC" w:themeFill="accent5" w:themeFillTint="99"/>
            <w:vAlign w:val="center"/>
          </w:tcPr>
          <w:p w:rsidR="0034585B" w:rsidRPr="00B902AA" w:rsidRDefault="0034585B" w:rsidP="0034585B">
            <w:pPr>
              <w:pStyle w:val="Standardparagraph"/>
              <w:spacing w:before="40" w:after="40" w:line="240" w:lineRule="auto"/>
              <w:ind w:right="0"/>
              <w:jc w:val="center"/>
              <w:rPr>
                <w:b/>
                <w:sz w:val="16"/>
                <w:szCs w:val="16"/>
              </w:rPr>
            </w:pPr>
            <w:r w:rsidRPr="00B902AA">
              <w:rPr>
                <w:b/>
                <w:sz w:val="16"/>
                <w:szCs w:val="16"/>
              </w:rPr>
              <w:t>Cost per m</w:t>
            </w:r>
            <w:r w:rsidRPr="00B902AA">
              <w:rPr>
                <w:b/>
                <w:sz w:val="16"/>
                <w:szCs w:val="16"/>
                <w:vertAlign w:val="superscript"/>
              </w:rPr>
              <w:t>2</w:t>
            </w:r>
          </w:p>
          <w:p w:rsidR="0034585B" w:rsidRPr="00B902AA" w:rsidRDefault="0034585B" w:rsidP="0034585B">
            <w:pPr>
              <w:pStyle w:val="Standardparagraph"/>
              <w:spacing w:before="40" w:after="40" w:line="240" w:lineRule="auto"/>
              <w:ind w:right="0"/>
              <w:jc w:val="center"/>
              <w:rPr>
                <w:b/>
                <w:sz w:val="16"/>
                <w:szCs w:val="16"/>
              </w:rPr>
            </w:pPr>
            <w:r w:rsidRPr="00B902AA">
              <w:rPr>
                <w:b/>
                <w:sz w:val="16"/>
                <w:szCs w:val="16"/>
              </w:rPr>
              <w:t>GIFA</w:t>
            </w:r>
          </w:p>
        </w:tc>
        <w:tc>
          <w:tcPr>
            <w:tcW w:w="1134" w:type="dxa"/>
            <w:tcBorders>
              <w:bottom w:val="single" w:sz="4" w:space="0" w:color="auto"/>
            </w:tcBorders>
            <w:shd w:val="clear" w:color="auto" w:fill="92CDDC" w:themeFill="accent5" w:themeFillTint="99"/>
            <w:vAlign w:val="center"/>
          </w:tcPr>
          <w:p w:rsidR="0034585B" w:rsidRPr="00B902AA" w:rsidRDefault="0034585B" w:rsidP="0034585B">
            <w:pPr>
              <w:pStyle w:val="Standardparagraph"/>
              <w:spacing w:before="40" w:after="40" w:line="240" w:lineRule="auto"/>
              <w:ind w:right="0"/>
              <w:jc w:val="center"/>
              <w:rPr>
                <w:b/>
                <w:sz w:val="16"/>
                <w:szCs w:val="16"/>
              </w:rPr>
            </w:pPr>
            <w:r w:rsidRPr="00B902AA">
              <w:rPr>
                <w:b/>
                <w:sz w:val="16"/>
                <w:szCs w:val="16"/>
              </w:rPr>
              <w:t>Unit Quantity</w:t>
            </w:r>
          </w:p>
        </w:tc>
        <w:tc>
          <w:tcPr>
            <w:tcW w:w="567" w:type="dxa"/>
            <w:tcBorders>
              <w:bottom w:val="single" w:sz="4" w:space="0" w:color="auto"/>
            </w:tcBorders>
            <w:shd w:val="clear" w:color="auto" w:fill="92CDDC" w:themeFill="accent5" w:themeFillTint="99"/>
            <w:vAlign w:val="center"/>
          </w:tcPr>
          <w:p w:rsidR="0034585B" w:rsidRPr="00B902AA" w:rsidRDefault="0034585B" w:rsidP="0034585B">
            <w:pPr>
              <w:pStyle w:val="Standardparagraph"/>
              <w:spacing w:before="40" w:after="40" w:line="240" w:lineRule="auto"/>
              <w:ind w:right="0"/>
              <w:jc w:val="center"/>
              <w:rPr>
                <w:b/>
                <w:sz w:val="16"/>
                <w:szCs w:val="16"/>
              </w:rPr>
            </w:pPr>
          </w:p>
        </w:tc>
        <w:tc>
          <w:tcPr>
            <w:tcW w:w="1134" w:type="dxa"/>
            <w:tcBorders>
              <w:bottom w:val="single" w:sz="4" w:space="0" w:color="auto"/>
            </w:tcBorders>
            <w:shd w:val="clear" w:color="auto" w:fill="92CDDC" w:themeFill="accent5" w:themeFillTint="99"/>
            <w:vAlign w:val="center"/>
          </w:tcPr>
          <w:p w:rsidR="0034585B" w:rsidRPr="00B902AA" w:rsidRDefault="0034585B" w:rsidP="0034585B">
            <w:pPr>
              <w:pStyle w:val="Standardparagraph"/>
              <w:spacing w:before="40" w:after="40" w:line="240" w:lineRule="auto"/>
              <w:ind w:right="0"/>
              <w:jc w:val="center"/>
              <w:rPr>
                <w:b/>
                <w:sz w:val="16"/>
                <w:szCs w:val="16"/>
              </w:rPr>
            </w:pPr>
            <w:r w:rsidRPr="00B902AA">
              <w:rPr>
                <w:b/>
                <w:sz w:val="16"/>
                <w:szCs w:val="16"/>
              </w:rPr>
              <w:t>Unit Rate</w:t>
            </w:r>
          </w:p>
        </w:tc>
      </w:tr>
      <w:tr w:rsidR="0034585B" w:rsidRPr="0034585B" w:rsidTr="006B6EAC">
        <w:tc>
          <w:tcPr>
            <w:tcW w:w="567" w:type="dxa"/>
            <w:shd w:val="clear" w:color="auto" w:fill="B6DDE8" w:themeFill="accent5" w:themeFillTint="66"/>
          </w:tcPr>
          <w:p w:rsidR="0034585B" w:rsidRPr="0034585B" w:rsidRDefault="0034585B" w:rsidP="0034585B">
            <w:pPr>
              <w:pStyle w:val="Standardparagraph"/>
              <w:spacing w:before="40" w:after="40" w:line="240" w:lineRule="auto"/>
              <w:ind w:right="0"/>
              <w:rPr>
                <w:sz w:val="16"/>
                <w:szCs w:val="16"/>
              </w:rPr>
            </w:pPr>
            <w:r>
              <w:rPr>
                <w:sz w:val="16"/>
                <w:szCs w:val="16"/>
              </w:rPr>
              <w:t>1</w:t>
            </w:r>
          </w:p>
        </w:tc>
        <w:tc>
          <w:tcPr>
            <w:tcW w:w="4395" w:type="dxa"/>
            <w:shd w:val="clear" w:color="auto" w:fill="B6DDE8" w:themeFill="accent5" w:themeFillTint="66"/>
          </w:tcPr>
          <w:p w:rsidR="0034585B" w:rsidRPr="0034585B" w:rsidRDefault="0034585B" w:rsidP="0034585B">
            <w:pPr>
              <w:pStyle w:val="Standardparagraph"/>
              <w:spacing w:before="40" w:after="40" w:line="240" w:lineRule="auto"/>
              <w:ind w:right="0"/>
              <w:rPr>
                <w:sz w:val="16"/>
                <w:szCs w:val="16"/>
              </w:rPr>
            </w:pPr>
            <w:r>
              <w:rPr>
                <w:sz w:val="16"/>
                <w:szCs w:val="16"/>
              </w:rPr>
              <w:t>SUBSTRUCTURE</w:t>
            </w:r>
          </w:p>
        </w:tc>
        <w:tc>
          <w:tcPr>
            <w:tcW w:w="1275" w:type="dxa"/>
            <w:shd w:val="clear" w:color="auto" w:fill="B6DDE8" w:themeFill="accent5" w:themeFillTint="66"/>
          </w:tcPr>
          <w:p w:rsidR="0034585B" w:rsidRPr="0034585B" w:rsidRDefault="0034585B" w:rsidP="006B6EAC">
            <w:pPr>
              <w:pStyle w:val="Standardparagraph"/>
              <w:spacing w:before="40" w:after="40" w:line="240" w:lineRule="auto"/>
              <w:ind w:right="0"/>
              <w:jc w:val="right"/>
              <w:rPr>
                <w:sz w:val="16"/>
                <w:szCs w:val="16"/>
              </w:rPr>
            </w:pPr>
          </w:p>
        </w:tc>
        <w:tc>
          <w:tcPr>
            <w:tcW w:w="1134" w:type="dxa"/>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c>
          <w:tcPr>
            <w:tcW w:w="1134" w:type="dxa"/>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c>
          <w:tcPr>
            <w:tcW w:w="567" w:type="dxa"/>
            <w:shd w:val="clear" w:color="auto" w:fill="B6DDE8" w:themeFill="accent5" w:themeFillTint="66"/>
          </w:tcPr>
          <w:p w:rsidR="0034585B" w:rsidRPr="001F6548" w:rsidRDefault="001F6548"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34585B" w:rsidP="0034585B">
            <w:pPr>
              <w:pStyle w:val="Standardparagraph"/>
              <w:spacing w:before="40" w:after="40" w:line="240" w:lineRule="auto"/>
              <w:ind w:right="0"/>
              <w:rPr>
                <w:sz w:val="16"/>
                <w:szCs w:val="16"/>
              </w:rPr>
            </w:pPr>
            <w:r>
              <w:rPr>
                <w:sz w:val="16"/>
                <w:szCs w:val="16"/>
              </w:rPr>
              <w:t>2</w:t>
            </w:r>
          </w:p>
        </w:tc>
        <w:tc>
          <w:tcPr>
            <w:tcW w:w="4395" w:type="dxa"/>
          </w:tcPr>
          <w:p w:rsidR="0034585B" w:rsidRPr="0034585B" w:rsidRDefault="0034585B" w:rsidP="0034585B">
            <w:pPr>
              <w:pStyle w:val="Standardparagraph"/>
              <w:spacing w:before="40" w:after="40" w:line="240" w:lineRule="auto"/>
              <w:ind w:right="0"/>
              <w:rPr>
                <w:sz w:val="16"/>
                <w:szCs w:val="16"/>
              </w:rPr>
            </w:pPr>
            <w:r>
              <w:rPr>
                <w:sz w:val="16"/>
                <w:szCs w:val="16"/>
              </w:rPr>
              <w:t>SUPERSTRUCTURE</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34585B" w:rsidP="0034585B">
            <w:pPr>
              <w:pStyle w:val="Standardparagraph"/>
              <w:spacing w:before="40" w:after="40" w:line="240" w:lineRule="auto"/>
              <w:ind w:right="0"/>
              <w:rPr>
                <w:sz w:val="16"/>
                <w:szCs w:val="16"/>
              </w:rPr>
            </w:pPr>
            <w:r>
              <w:rPr>
                <w:sz w:val="16"/>
                <w:szCs w:val="16"/>
              </w:rPr>
              <w:t>2.1</w:t>
            </w:r>
          </w:p>
        </w:tc>
        <w:tc>
          <w:tcPr>
            <w:tcW w:w="4395" w:type="dxa"/>
          </w:tcPr>
          <w:p w:rsidR="0034585B" w:rsidRPr="0034585B" w:rsidRDefault="0034585B" w:rsidP="0034585B">
            <w:pPr>
              <w:pStyle w:val="Standardparagraph"/>
              <w:spacing w:before="40" w:after="40" w:line="240" w:lineRule="auto"/>
              <w:ind w:right="0"/>
              <w:rPr>
                <w:sz w:val="16"/>
                <w:szCs w:val="16"/>
              </w:rPr>
            </w:pPr>
            <w:r>
              <w:rPr>
                <w:sz w:val="16"/>
                <w:szCs w:val="16"/>
              </w:rPr>
              <w:t>Frame</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1F6548" w:rsidRDefault="001F6548"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34585B" w:rsidP="0034585B">
            <w:pPr>
              <w:pStyle w:val="Standardparagraph"/>
              <w:spacing w:before="40" w:after="40" w:line="240" w:lineRule="auto"/>
              <w:ind w:right="0"/>
              <w:rPr>
                <w:sz w:val="16"/>
                <w:szCs w:val="16"/>
              </w:rPr>
            </w:pPr>
            <w:r>
              <w:rPr>
                <w:sz w:val="16"/>
                <w:szCs w:val="16"/>
              </w:rPr>
              <w:t>2.2</w:t>
            </w:r>
          </w:p>
        </w:tc>
        <w:tc>
          <w:tcPr>
            <w:tcW w:w="4395" w:type="dxa"/>
          </w:tcPr>
          <w:p w:rsidR="0034585B" w:rsidRPr="0034585B" w:rsidRDefault="0034585B" w:rsidP="0034585B">
            <w:pPr>
              <w:pStyle w:val="Standardparagraph"/>
              <w:spacing w:before="40" w:after="40" w:line="240" w:lineRule="auto"/>
              <w:ind w:right="0"/>
              <w:rPr>
                <w:sz w:val="16"/>
                <w:szCs w:val="16"/>
              </w:rPr>
            </w:pPr>
            <w:r>
              <w:rPr>
                <w:sz w:val="16"/>
                <w:szCs w:val="16"/>
              </w:rPr>
              <w:t>Upper Floors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1F6548" w:rsidRDefault="001F6548"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34585B" w:rsidP="0034585B">
            <w:pPr>
              <w:pStyle w:val="Standardparagraph"/>
              <w:spacing w:before="40" w:after="40" w:line="240" w:lineRule="auto"/>
              <w:ind w:right="0"/>
              <w:rPr>
                <w:sz w:val="16"/>
                <w:szCs w:val="16"/>
              </w:rPr>
            </w:pPr>
            <w:r>
              <w:rPr>
                <w:sz w:val="16"/>
                <w:szCs w:val="16"/>
              </w:rPr>
              <w:t>2.3</w:t>
            </w:r>
          </w:p>
        </w:tc>
        <w:tc>
          <w:tcPr>
            <w:tcW w:w="4395" w:type="dxa"/>
          </w:tcPr>
          <w:p w:rsidR="0034585B" w:rsidRPr="0034585B" w:rsidRDefault="0034585B" w:rsidP="0034585B">
            <w:pPr>
              <w:pStyle w:val="Standardparagraph"/>
              <w:spacing w:before="40" w:after="40" w:line="240" w:lineRule="auto"/>
              <w:ind w:right="0"/>
              <w:rPr>
                <w:sz w:val="16"/>
                <w:szCs w:val="16"/>
              </w:rPr>
            </w:pPr>
            <w:r>
              <w:rPr>
                <w:sz w:val="16"/>
                <w:szCs w:val="16"/>
              </w:rPr>
              <w:t>Roof</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1F6548" w:rsidRDefault="001F6548"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34585B" w:rsidP="0034585B">
            <w:pPr>
              <w:pStyle w:val="Standardparagraph"/>
              <w:spacing w:before="40" w:after="40" w:line="240" w:lineRule="auto"/>
              <w:ind w:right="0"/>
              <w:rPr>
                <w:sz w:val="16"/>
                <w:szCs w:val="16"/>
              </w:rPr>
            </w:pPr>
            <w:r>
              <w:rPr>
                <w:sz w:val="16"/>
                <w:szCs w:val="16"/>
              </w:rPr>
              <w:t>2.4</w:t>
            </w:r>
          </w:p>
        </w:tc>
        <w:tc>
          <w:tcPr>
            <w:tcW w:w="4395" w:type="dxa"/>
          </w:tcPr>
          <w:p w:rsidR="0034585B" w:rsidRPr="0034585B" w:rsidRDefault="0034585B" w:rsidP="0034585B">
            <w:pPr>
              <w:pStyle w:val="Standardparagraph"/>
              <w:spacing w:before="40" w:after="40" w:line="240" w:lineRule="auto"/>
              <w:ind w:right="0"/>
              <w:rPr>
                <w:sz w:val="16"/>
                <w:szCs w:val="16"/>
              </w:rPr>
            </w:pPr>
            <w:r>
              <w:rPr>
                <w:sz w:val="16"/>
                <w:szCs w:val="16"/>
              </w:rPr>
              <w:t>Stairs and Ramps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34585B" w:rsidRDefault="001F6548" w:rsidP="006B6EAC">
            <w:pPr>
              <w:pStyle w:val="Standardparagraph"/>
              <w:spacing w:before="40" w:after="40" w:line="240" w:lineRule="auto"/>
              <w:ind w:right="0"/>
              <w:jc w:val="center"/>
              <w:rPr>
                <w:sz w:val="16"/>
                <w:szCs w:val="16"/>
              </w:rPr>
            </w:pPr>
            <w:r>
              <w:rPr>
                <w:sz w:val="16"/>
                <w:szCs w:val="16"/>
              </w:rPr>
              <w:t>Nr</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34585B" w:rsidP="0034585B">
            <w:pPr>
              <w:pStyle w:val="Standardparagraph"/>
              <w:spacing w:before="40" w:after="40" w:line="240" w:lineRule="auto"/>
              <w:ind w:right="0"/>
              <w:rPr>
                <w:sz w:val="16"/>
                <w:szCs w:val="16"/>
              </w:rPr>
            </w:pPr>
            <w:r>
              <w:rPr>
                <w:sz w:val="16"/>
                <w:szCs w:val="16"/>
              </w:rPr>
              <w:t>2.5</w:t>
            </w:r>
          </w:p>
        </w:tc>
        <w:tc>
          <w:tcPr>
            <w:tcW w:w="4395" w:type="dxa"/>
          </w:tcPr>
          <w:p w:rsidR="0034585B" w:rsidRPr="0034585B" w:rsidRDefault="0034585B" w:rsidP="0034585B">
            <w:pPr>
              <w:pStyle w:val="Standardparagraph"/>
              <w:spacing w:before="40" w:after="40" w:line="240" w:lineRule="auto"/>
              <w:ind w:right="0"/>
              <w:rPr>
                <w:sz w:val="16"/>
                <w:szCs w:val="16"/>
              </w:rPr>
            </w:pPr>
            <w:r>
              <w:rPr>
                <w:sz w:val="16"/>
                <w:szCs w:val="16"/>
              </w:rPr>
              <w:t>External Walls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1F6548" w:rsidRDefault="001F6548"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34585B" w:rsidP="0034585B">
            <w:pPr>
              <w:pStyle w:val="Standardparagraph"/>
              <w:spacing w:before="40" w:after="40" w:line="240" w:lineRule="auto"/>
              <w:ind w:right="0"/>
              <w:rPr>
                <w:sz w:val="16"/>
                <w:szCs w:val="16"/>
              </w:rPr>
            </w:pPr>
            <w:r>
              <w:rPr>
                <w:sz w:val="16"/>
                <w:szCs w:val="16"/>
              </w:rPr>
              <w:t>2.6</w:t>
            </w:r>
          </w:p>
        </w:tc>
        <w:tc>
          <w:tcPr>
            <w:tcW w:w="4395" w:type="dxa"/>
          </w:tcPr>
          <w:p w:rsidR="0034585B" w:rsidRPr="0034585B" w:rsidRDefault="0034585B" w:rsidP="0034585B">
            <w:pPr>
              <w:pStyle w:val="Standardparagraph"/>
              <w:spacing w:before="40" w:after="40" w:line="240" w:lineRule="auto"/>
              <w:ind w:right="0"/>
              <w:rPr>
                <w:sz w:val="16"/>
                <w:szCs w:val="16"/>
              </w:rPr>
            </w:pPr>
            <w:r>
              <w:rPr>
                <w:sz w:val="16"/>
                <w:szCs w:val="16"/>
              </w:rPr>
              <w:t>Windows and External Doors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1F6548" w:rsidRDefault="001F6548"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34585B" w:rsidP="0034585B">
            <w:pPr>
              <w:pStyle w:val="Standardparagraph"/>
              <w:spacing w:before="40" w:after="40" w:line="240" w:lineRule="auto"/>
              <w:ind w:right="0"/>
              <w:rPr>
                <w:sz w:val="16"/>
                <w:szCs w:val="16"/>
              </w:rPr>
            </w:pPr>
            <w:r>
              <w:rPr>
                <w:sz w:val="16"/>
                <w:szCs w:val="16"/>
              </w:rPr>
              <w:t>2.7</w:t>
            </w:r>
          </w:p>
        </w:tc>
        <w:tc>
          <w:tcPr>
            <w:tcW w:w="4395" w:type="dxa"/>
          </w:tcPr>
          <w:p w:rsidR="0034585B" w:rsidRPr="0034585B" w:rsidRDefault="0034585B" w:rsidP="0034585B">
            <w:pPr>
              <w:pStyle w:val="Standardparagraph"/>
              <w:spacing w:before="40" w:after="40" w:line="240" w:lineRule="auto"/>
              <w:ind w:right="0"/>
              <w:rPr>
                <w:sz w:val="16"/>
                <w:szCs w:val="16"/>
              </w:rPr>
            </w:pPr>
            <w:r>
              <w:rPr>
                <w:sz w:val="16"/>
                <w:szCs w:val="16"/>
              </w:rPr>
              <w:t>Internal Walls and Partitions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1F6548" w:rsidRDefault="001F6548"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Borders>
              <w:bottom w:val="single" w:sz="4" w:space="0" w:color="auto"/>
            </w:tcBorders>
          </w:tcPr>
          <w:p w:rsidR="0034585B" w:rsidRPr="0034585B" w:rsidRDefault="0034585B" w:rsidP="0034585B">
            <w:pPr>
              <w:pStyle w:val="Standardparagraph"/>
              <w:spacing w:before="40" w:after="40" w:line="240" w:lineRule="auto"/>
              <w:ind w:right="0"/>
              <w:rPr>
                <w:sz w:val="16"/>
                <w:szCs w:val="16"/>
              </w:rPr>
            </w:pPr>
            <w:r>
              <w:rPr>
                <w:sz w:val="16"/>
                <w:szCs w:val="16"/>
              </w:rPr>
              <w:t>2.8</w:t>
            </w:r>
          </w:p>
        </w:tc>
        <w:tc>
          <w:tcPr>
            <w:tcW w:w="4395" w:type="dxa"/>
            <w:tcBorders>
              <w:bottom w:val="single" w:sz="4" w:space="0" w:color="auto"/>
            </w:tcBorders>
          </w:tcPr>
          <w:p w:rsidR="0034585B" w:rsidRPr="0034585B" w:rsidRDefault="0034585B" w:rsidP="0034585B">
            <w:pPr>
              <w:pStyle w:val="Standardparagraph"/>
              <w:spacing w:before="40" w:after="40" w:line="240" w:lineRule="auto"/>
              <w:ind w:right="0"/>
              <w:rPr>
                <w:sz w:val="16"/>
                <w:szCs w:val="16"/>
              </w:rPr>
            </w:pPr>
            <w:r>
              <w:rPr>
                <w:sz w:val="16"/>
                <w:szCs w:val="16"/>
              </w:rPr>
              <w:t>Internal Doors</w:t>
            </w:r>
          </w:p>
        </w:tc>
        <w:tc>
          <w:tcPr>
            <w:tcW w:w="1275" w:type="dxa"/>
            <w:tcBorders>
              <w:bottom w:val="single" w:sz="4" w:space="0" w:color="auto"/>
            </w:tcBorders>
          </w:tcPr>
          <w:p w:rsidR="0034585B" w:rsidRPr="0034585B" w:rsidRDefault="0034585B" w:rsidP="006B6EAC">
            <w:pPr>
              <w:pStyle w:val="Standardparagraph"/>
              <w:spacing w:before="40" w:after="40" w:line="240" w:lineRule="auto"/>
              <w:ind w:right="0"/>
              <w:jc w:val="right"/>
              <w:rPr>
                <w:sz w:val="16"/>
                <w:szCs w:val="16"/>
              </w:rPr>
            </w:pPr>
          </w:p>
        </w:tc>
        <w:tc>
          <w:tcPr>
            <w:tcW w:w="1134" w:type="dxa"/>
            <w:tcBorders>
              <w:bottom w:val="single" w:sz="4" w:space="0" w:color="auto"/>
            </w:tcBorders>
          </w:tcPr>
          <w:p w:rsidR="0034585B" w:rsidRPr="0034585B" w:rsidRDefault="0034585B" w:rsidP="006B6EAC">
            <w:pPr>
              <w:pStyle w:val="Standardparagraph"/>
              <w:spacing w:before="40" w:after="40" w:line="240" w:lineRule="auto"/>
              <w:ind w:right="0"/>
              <w:jc w:val="center"/>
              <w:rPr>
                <w:sz w:val="16"/>
                <w:szCs w:val="16"/>
              </w:rPr>
            </w:pPr>
          </w:p>
        </w:tc>
        <w:tc>
          <w:tcPr>
            <w:tcW w:w="1134" w:type="dxa"/>
            <w:tcBorders>
              <w:bottom w:val="single" w:sz="4" w:space="0" w:color="auto"/>
            </w:tcBorders>
          </w:tcPr>
          <w:p w:rsidR="0034585B" w:rsidRPr="0034585B" w:rsidRDefault="0034585B" w:rsidP="006B6EAC">
            <w:pPr>
              <w:pStyle w:val="Standardparagraph"/>
              <w:spacing w:before="40" w:after="40" w:line="240" w:lineRule="auto"/>
              <w:ind w:right="0"/>
              <w:jc w:val="center"/>
              <w:rPr>
                <w:sz w:val="16"/>
                <w:szCs w:val="16"/>
              </w:rPr>
            </w:pPr>
          </w:p>
        </w:tc>
        <w:tc>
          <w:tcPr>
            <w:tcW w:w="567" w:type="dxa"/>
            <w:tcBorders>
              <w:bottom w:val="single" w:sz="4" w:space="0" w:color="auto"/>
            </w:tcBorders>
          </w:tcPr>
          <w:p w:rsidR="0034585B" w:rsidRPr="0034585B" w:rsidRDefault="001F6548" w:rsidP="006B6EAC">
            <w:pPr>
              <w:pStyle w:val="Standardparagraph"/>
              <w:spacing w:before="40" w:after="40" w:line="240" w:lineRule="auto"/>
              <w:ind w:right="0"/>
              <w:jc w:val="center"/>
              <w:rPr>
                <w:sz w:val="16"/>
                <w:szCs w:val="16"/>
              </w:rPr>
            </w:pPr>
            <w:r>
              <w:rPr>
                <w:sz w:val="16"/>
                <w:szCs w:val="16"/>
              </w:rPr>
              <w:t>Nr</w:t>
            </w:r>
          </w:p>
        </w:tc>
        <w:tc>
          <w:tcPr>
            <w:tcW w:w="1134" w:type="dxa"/>
            <w:tcBorders>
              <w:bottom w:val="single" w:sz="4" w:space="0" w:color="auto"/>
            </w:tcBorders>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shd w:val="clear" w:color="auto" w:fill="B6DDE8" w:themeFill="accent5" w:themeFillTint="66"/>
          </w:tcPr>
          <w:p w:rsidR="0034585B" w:rsidRPr="0034585B" w:rsidRDefault="0034585B" w:rsidP="0034585B">
            <w:pPr>
              <w:pStyle w:val="Standardparagraph"/>
              <w:spacing w:before="40" w:after="40" w:line="240" w:lineRule="auto"/>
              <w:ind w:right="0"/>
              <w:rPr>
                <w:sz w:val="16"/>
                <w:szCs w:val="16"/>
              </w:rPr>
            </w:pPr>
          </w:p>
        </w:tc>
        <w:tc>
          <w:tcPr>
            <w:tcW w:w="4395" w:type="dxa"/>
            <w:shd w:val="clear" w:color="auto" w:fill="B6DDE8" w:themeFill="accent5" w:themeFillTint="66"/>
            <w:vAlign w:val="center"/>
          </w:tcPr>
          <w:p w:rsidR="0034585B" w:rsidRPr="0034585B" w:rsidRDefault="0034585B" w:rsidP="0034585B">
            <w:pPr>
              <w:pStyle w:val="Standardparagraph"/>
              <w:spacing w:before="40" w:after="40" w:line="240" w:lineRule="auto"/>
              <w:ind w:right="0"/>
              <w:jc w:val="right"/>
              <w:rPr>
                <w:sz w:val="16"/>
                <w:szCs w:val="16"/>
              </w:rPr>
            </w:pPr>
            <w:r>
              <w:rPr>
                <w:sz w:val="16"/>
                <w:szCs w:val="16"/>
              </w:rPr>
              <w:t>Total Superstructure</w:t>
            </w:r>
          </w:p>
        </w:tc>
        <w:tc>
          <w:tcPr>
            <w:tcW w:w="1275" w:type="dxa"/>
            <w:shd w:val="clear" w:color="auto" w:fill="B6DDE8" w:themeFill="accent5" w:themeFillTint="66"/>
          </w:tcPr>
          <w:p w:rsidR="0034585B" w:rsidRPr="0034585B" w:rsidRDefault="0034585B" w:rsidP="006B6EAC">
            <w:pPr>
              <w:pStyle w:val="Standardparagraph"/>
              <w:spacing w:before="40" w:after="40" w:line="240" w:lineRule="auto"/>
              <w:ind w:right="0"/>
              <w:jc w:val="right"/>
              <w:rPr>
                <w:sz w:val="16"/>
                <w:szCs w:val="16"/>
              </w:rPr>
            </w:pPr>
          </w:p>
        </w:tc>
        <w:tc>
          <w:tcPr>
            <w:tcW w:w="1134" w:type="dxa"/>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c>
          <w:tcPr>
            <w:tcW w:w="1134" w:type="dxa"/>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c>
          <w:tcPr>
            <w:tcW w:w="567" w:type="dxa"/>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c>
          <w:tcPr>
            <w:tcW w:w="1134" w:type="dxa"/>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34585B" w:rsidP="0034585B">
            <w:pPr>
              <w:pStyle w:val="Standardparagraph"/>
              <w:spacing w:before="40" w:after="40" w:line="240" w:lineRule="auto"/>
              <w:ind w:right="0"/>
              <w:rPr>
                <w:sz w:val="16"/>
                <w:szCs w:val="16"/>
              </w:rPr>
            </w:pPr>
            <w:r>
              <w:rPr>
                <w:sz w:val="16"/>
                <w:szCs w:val="16"/>
              </w:rPr>
              <w:t>3</w:t>
            </w:r>
          </w:p>
        </w:tc>
        <w:tc>
          <w:tcPr>
            <w:tcW w:w="4395" w:type="dxa"/>
          </w:tcPr>
          <w:p w:rsidR="0034585B" w:rsidRPr="0034585B" w:rsidRDefault="0034585B" w:rsidP="0034585B">
            <w:pPr>
              <w:pStyle w:val="Standardparagraph"/>
              <w:spacing w:before="40" w:after="40" w:line="240" w:lineRule="auto"/>
              <w:ind w:right="0"/>
              <w:rPr>
                <w:sz w:val="16"/>
                <w:szCs w:val="16"/>
              </w:rPr>
            </w:pPr>
            <w:r>
              <w:rPr>
                <w:sz w:val="16"/>
                <w:szCs w:val="16"/>
              </w:rPr>
              <w:t>INTERNAL FINISHES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34585B" w:rsidP="0034585B">
            <w:pPr>
              <w:pStyle w:val="Standardparagraph"/>
              <w:spacing w:before="40" w:after="40" w:line="240" w:lineRule="auto"/>
              <w:ind w:right="0"/>
              <w:rPr>
                <w:sz w:val="16"/>
                <w:szCs w:val="16"/>
              </w:rPr>
            </w:pPr>
            <w:r>
              <w:rPr>
                <w:sz w:val="16"/>
                <w:szCs w:val="16"/>
              </w:rPr>
              <w:t>3.1</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Wall Finishes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1F6548" w:rsidRDefault="001F6548"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34585B" w:rsidP="0034585B">
            <w:pPr>
              <w:pStyle w:val="Standardparagraph"/>
              <w:spacing w:before="40" w:after="40" w:line="240" w:lineRule="auto"/>
              <w:ind w:right="0"/>
              <w:rPr>
                <w:sz w:val="16"/>
                <w:szCs w:val="16"/>
              </w:rPr>
            </w:pPr>
            <w:r>
              <w:rPr>
                <w:sz w:val="16"/>
                <w:szCs w:val="16"/>
              </w:rPr>
              <w:t>3.2</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Floor Finishes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1F6548" w:rsidRDefault="001F6548"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Borders>
              <w:bottom w:val="single" w:sz="4" w:space="0" w:color="auto"/>
            </w:tcBorders>
          </w:tcPr>
          <w:p w:rsidR="0034585B" w:rsidRPr="0034585B" w:rsidRDefault="0034585B" w:rsidP="0034585B">
            <w:pPr>
              <w:pStyle w:val="Standardparagraph"/>
              <w:spacing w:before="40" w:after="40" w:line="240" w:lineRule="auto"/>
              <w:ind w:right="0"/>
              <w:rPr>
                <w:sz w:val="16"/>
                <w:szCs w:val="16"/>
              </w:rPr>
            </w:pPr>
            <w:r>
              <w:rPr>
                <w:sz w:val="16"/>
                <w:szCs w:val="16"/>
              </w:rPr>
              <w:t>3.3</w:t>
            </w:r>
          </w:p>
        </w:tc>
        <w:tc>
          <w:tcPr>
            <w:tcW w:w="4395" w:type="dxa"/>
            <w:tcBorders>
              <w:bottom w:val="single" w:sz="4" w:space="0" w:color="auto"/>
            </w:tcBorders>
          </w:tcPr>
          <w:p w:rsidR="0034585B" w:rsidRPr="0034585B" w:rsidRDefault="001F6548" w:rsidP="0034585B">
            <w:pPr>
              <w:pStyle w:val="Standardparagraph"/>
              <w:spacing w:before="40" w:after="40" w:line="240" w:lineRule="auto"/>
              <w:ind w:right="0"/>
              <w:rPr>
                <w:sz w:val="16"/>
                <w:szCs w:val="16"/>
              </w:rPr>
            </w:pPr>
            <w:r>
              <w:rPr>
                <w:sz w:val="16"/>
                <w:szCs w:val="16"/>
              </w:rPr>
              <w:t>Ceiling Finishes</w:t>
            </w:r>
          </w:p>
        </w:tc>
        <w:tc>
          <w:tcPr>
            <w:tcW w:w="1275" w:type="dxa"/>
            <w:tcBorders>
              <w:bottom w:val="single" w:sz="4" w:space="0" w:color="auto"/>
            </w:tcBorders>
          </w:tcPr>
          <w:p w:rsidR="0034585B" w:rsidRPr="0034585B" w:rsidRDefault="0034585B" w:rsidP="006B6EAC">
            <w:pPr>
              <w:pStyle w:val="Standardparagraph"/>
              <w:spacing w:before="40" w:after="40" w:line="240" w:lineRule="auto"/>
              <w:ind w:right="0"/>
              <w:jc w:val="right"/>
              <w:rPr>
                <w:sz w:val="16"/>
                <w:szCs w:val="16"/>
              </w:rPr>
            </w:pPr>
          </w:p>
        </w:tc>
        <w:tc>
          <w:tcPr>
            <w:tcW w:w="1134" w:type="dxa"/>
            <w:tcBorders>
              <w:bottom w:val="single" w:sz="4" w:space="0" w:color="auto"/>
            </w:tcBorders>
          </w:tcPr>
          <w:p w:rsidR="0034585B" w:rsidRPr="0034585B" w:rsidRDefault="0034585B" w:rsidP="006B6EAC">
            <w:pPr>
              <w:pStyle w:val="Standardparagraph"/>
              <w:spacing w:before="40" w:after="40" w:line="240" w:lineRule="auto"/>
              <w:ind w:right="0"/>
              <w:jc w:val="center"/>
              <w:rPr>
                <w:sz w:val="16"/>
                <w:szCs w:val="16"/>
              </w:rPr>
            </w:pPr>
          </w:p>
        </w:tc>
        <w:tc>
          <w:tcPr>
            <w:tcW w:w="1134" w:type="dxa"/>
            <w:tcBorders>
              <w:bottom w:val="single" w:sz="4" w:space="0" w:color="auto"/>
            </w:tcBorders>
          </w:tcPr>
          <w:p w:rsidR="0034585B" w:rsidRPr="0034585B" w:rsidRDefault="0034585B" w:rsidP="006B6EAC">
            <w:pPr>
              <w:pStyle w:val="Standardparagraph"/>
              <w:spacing w:before="40" w:after="40" w:line="240" w:lineRule="auto"/>
              <w:ind w:right="0"/>
              <w:jc w:val="center"/>
              <w:rPr>
                <w:sz w:val="16"/>
                <w:szCs w:val="16"/>
              </w:rPr>
            </w:pPr>
          </w:p>
        </w:tc>
        <w:tc>
          <w:tcPr>
            <w:tcW w:w="567" w:type="dxa"/>
            <w:tcBorders>
              <w:bottom w:val="single" w:sz="4" w:space="0" w:color="auto"/>
            </w:tcBorders>
          </w:tcPr>
          <w:p w:rsidR="0034585B" w:rsidRPr="001F6548" w:rsidRDefault="001F6548"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Borders>
              <w:bottom w:val="single" w:sz="4" w:space="0" w:color="auto"/>
            </w:tcBorders>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Borders>
              <w:bottom w:val="single" w:sz="4" w:space="0" w:color="auto"/>
            </w:tcBorders>
            <w:shd w:val="clear" w:color="auto" w:fill="B6DDE8" w:themeFill="accent5" w:themeFillTint="66"/>
          </w:tcPr>
          <w:p w:rsidR="0034585B" w:rsidRPr="0034585B" w:rsidRDefault="0034585B" w:rsidP="0034585B">
            <w:pPr>
              <w:pStyle w:val="Standardparagraph"/>
              <w:spacing w:before="40" w:after="40" w:line="240" w:lineRule="auto"/>
              <w:ind w:right="0"/>
              <w:rPr>
                <w:sz w:val="16"/>
                <w:szCs w:val="16"/>
              </w:rPr>
            </w:pPr>
          </w:p>
        </w:tc>
        <w:tc>
          <w:tcPr>
            <w:tcW w:w="4395" w:type="dxa"/>
            <w:tcBorders>
              <w:bottom w:val="single" w:sz="4" w:space="0" w:color="auto"/>
            </w:tcBorders>
            <w:shd w:val="clear" w:color="auto" w:fill="B6DDE8" w:themeFill="accent5" w:themeFillTint="66"/>
          </w:tcPr>
          <w:p w:rsidR="0034585B" w:rsidRPr="0034585B" w:rsidRDefault="001F6548" w:rsidP="001F6548">
            <w:pPr>
              <w:pStyle w:val="Standardparagraph"/>
              <w:spacing w:before="40" w:after="40" w:line="240" w:lineRule="auto"/>
              <w:ind w:right="0"/>
              <w:jc w:val="right"/>
              <w:rPr>
                <w:sz w:val="16"/>
                <w:szCs w:val="16"/>
              </w:rPr>
            </w:pPr>
            <w:r>
              <w:rPr>
                <w:sz w:val="16"/>
                <w:szCs w:val="16"/>
              </w:rPr>
              <w:t>Total Internal Finishes</w:t>
            </w:r>
          </w:p>
        </w:tc>
        <w:tc>
          <w:tcPr>
            <w:tcW w:w="1275" w:type="dxa"/>
            <w:tcBorders>
              <w:bottom w:val="single" w:sz="4" w:space="0" w:color="auto"/>
            </w:tcBorders>
            <w:shd w:val="clear" w:color="auto" w:fill="B6DDE8" w:themeFill="accent5" w:themeFillTint="66"/>
          </w:tcPr>
          <w:p w:rsidR="0034585B" w:rsidRPr="0034585B" w:rsidRDefault="0034585B" w:rsidP="006B6EAC">
            <w:pPr>
              <w:pStyle w:val="Standardparagraph"/>
              <w:spacing w:before="40" w:after="40" w:line="240" w:lineRule="auto"/>
              <w:ind w:right="0"/>
              <w:jc w:val="right"/>
              <w:rPr>
                <w:sz w:val="16"/>
                <w:szCs w:val="16"/>
              </w:rPr>
            </w:pPr>
          </w:p>
        </w:tc>
        <w:tc>
          <w:tcPr>
            <w:tcW w:w="1134" w:type="dxa"/>
            <w:tcBorders>
              <w:bottom w:val="single" w:sz="4" w:space="0" w:color="auto"/>
            </w:tcBorders>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c>
          <w:tcPr>
            <w:tcW w:w="1134" w:type="dxa"/>
            <w:tcBorders>
              <w:bottom w:val="single" w:sz="4" w:space="0" w:color="auto"/>
            </w:tcBorders>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c>
          <w:tcPr>
            <w:tcW w:w="567" w:type="dxa"/>
            <w:tcBorders>
              <w:bottom w:val="single" w:sz="4" w:space="0" w:color="auto"/>
            </w:tcBorders>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c>
          <w:tcPr>
            <w:tcW w:w="1134" w:type="dxa"/>
            <w:tcBorders>
              <w:bottom w:val="single" w:sz="4" w:space="0" w:color="auto"/>
            </w:tcBorders>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shd w:val="clear" w:color="auto" w:fill="B6DDE8" w:themeFill="accent5" w:themeFillTint="66"/>
          </w:tcPr>
          <w:p w:rsidR="0034585B" w:rsidRPr="0034585B" w:rsidRDefault="001F6548" w:rsidP="0034585B">
            <w:pPr>
              <w:pStyle w:val="Standardparagraph"/>
              <w:spacing w:before="40" w:after="40" w:line="240" w:lineRule="auto"/>
              <w:ind w:right="0"/>
              <w:rPr>
                <w:sz w:val="16"/>
                <w:szCs w:val="16"/>
              </w:rPr>
            </w:pPr>
            <w:r>
              <w:rPr>
                <w:sz w:val="16"/>
                <w:szCs w:val="16"/>
              </w:rPr>
              <w:t>4</w:t>
            </w:r>
          </w:p>
        </w:tc>
        <w:tc>
          <w:tcPr>
            <w:tcW w:w="4395" w:type="dxa"/>
            <w:shd w:val="clear" w:color="auto" w:fill="B6DDE8" w:themeFill="accent5" w:themeFillTint="66"/>
          </w:tcPr>
          <w:p w:rsidR="0034585B" w:rsidRPr="0034585B" w:rsidRDefault="001F6548" w:rsidP="0034585B">
            <w:pPr>
              <w:pStyle w:val="Standardparagraph"/>
              <w:spacing w:before="40" w:after="40" w:line="240" w:lineRule="auto"/>
              <w:ind w:right="0"/>
              <w:rPr>
                <w:sz w:val="16"/>
                <w:szCs w:val="16"/>
              </w:rPr>
            </w:pPr>
            <w:r>
              <w:rPr>
                <w:sz w:val="16"/>
                <w:szCs w:val="16"/>
              </w:rPr>
              <w:t>FITTINGS, FURNISHINGS AND EQUIPMENT</w:t>
            </w:r>
          </w:p>
        </w:tc>
        <w:tc>
          <w:tcPr>
            <w:tcW w:w="1275" w:type="dxa"/>
            <w:shd w:val="clear" w:color="auto" w:fill="B6DDE8" w:themeFill="accent5" w:themeFillTint="66"/>
          </w:tcPr>
          <w:p w:rsidR="0034585B" w:rsidRPr="0034585B" w:rsidRDefault="0034585B" w:rsidP="006B6EAC">
            <w:pPr>
              <w:pStyle w:val="Standardparagraph"/>
              <w:spacing w:before="40" w:after="40" w:line="240" w:lineRule="auto"/>
              <w:ind w:right="0"/>
              <w:jc w:val="right"/>
              <w:rPr>
                <w:sz w:val="16"/>
                <w:szCs w:val="16"/>
              </w:rPr>
            </w:pPr>
          </w:p>
        </w:tc>
        <w:tc>
          <w:tcPr>
            <w:tcW w:w="1134" w:type="dxa"/>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c>
          <w:tcPr>
            <w:tcW w:w="1134" w:type="dxa"/>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c>
          <w:tcPr>
            <w:tcW w:w="567" w:type="dxa"/>
            <w:shd w:val="clear" w:color="auto" w:fill="B6DDE8" w:themeFill="accent5" w:themeFillTint="66"/>
          </w:tcPr>
          <w:p w:rsidR="0034585B" w:rsidRPr="001F6548" w:rsidRDefault="001F6548"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B6DDE8" w:themeFill="accent5" w:themeFillTint="66"/>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1F6548" w:rsidP="0034585B">
            <w:pPr>
              <w:pStyle w:val="Standardparagraph"/>
              <w:spacing w:before="40" w:after="40" w:line="240" w:lineRule="auto"/>
              <w:ind w:right="0"/>
              <w:rPr>
                <w:sz w:val="16"/>
                <w:szCs w:val="16"/>
              </w:rPr>
            </w:pPr>
            <w:r>
              <w:rPr>
                <w:sz w:val="16"/>
                <w:szCs w:val="16"/>
              </w:rPr>
              <w:t>5</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SERVICES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1F6548" w:rsidP="0034585B">
            <w:pPr>
              <w:pStyle w:val="Standardparagraph"/>
              <w:spacing w:before="40" w:after="40" w:line="240" w:lineRule="auto"/>
              <w:ind w:right="0"/>
              <w:rPr>
                <w:sz w:val="16"/>
                <w:szCs w:val="16"/>
              </w:rPr>
            </w:pPr>
            <w:r>
              <w:rPr>
                <w:sz w:val="16"/>
                <w:szCs w:val="16"/>
              </w:rPr>
              <w:t>5.1</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Sanitary Installations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34585B" w:rsidRDefault="00B902AA" w:rsidP="006B6EAC">
            <w:pPr>
              <w:pStyle w:val="Standardparagraph"/>
              <w:spacing w:before="40" w:after="40" w:line="240" w:lineRule="auto"/>
              <w:ind w:right="0"/>
              <w:jc w:val="center"/>
              <w:rPr>
                <w:sz w:val="16"/>
                <w:szCs w:val="16"/>
              </w:rPr>
            </w:pPr>
            <w:r>
              <w:rPr>
                <w:sz w:val="16"/>
                <w:szCs w:val="16"/>
              </w:rPr>
              <w:t>Nr</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1F6548" w:rsidP="0034585B">
            <w:pPr>
              <w:pStyle w:val="Standardparagraph"/>
              <w:spacing w:before="40" w:after="40" w:line="240" w:lineRule="auto"/>
              <w:ind w:right="0"/>
              <w:rPr>
                <w:sz w:val="16"/>
                <w:szCs w:val="16"/>
              </w:rPr>
            </w:pPr>
            <w:r>
              <w:rPr>
                <w:sz w:val="16"/>
                <w:szCs w:val="16"/>
              </w:rPr>
              <w:t>5.2</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Services Equipment</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34585B" w:rsidRDefault="00B902AA" w:rsidP="006B6EAC">
            <w:pPr>
              <w:pStyle w:val="Standardparagraph"/>
              <w:spacing w:before="40" w:after="40" w:line="240" w:lineRule="auto"/>
              <w:ind w:right="0"/>
              <w:jc w:val="center"/>
              <w:rPr>
                <w:sz w:val="16"/>
                <w:szCs w:val="16"/>
              </w:rPr>
            </w:pPr>
            <w:r>
              <w:rPr>
                <w:sz w:val="16"/>
                <w:szCs w:val="16"/>
              </w:rPr>
              <w:t>Nr</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1F6548" w:rsidP="0034585B">
            <w:pPr>
              <w:pStyle w:val="Standardparagraph"/>
              <w:spacing w:before="40" w:after="40" w:line="240" w:lineRule="auto"/>
              <w:ind w:right="0"/>
              <w:rPr>
                <w:sz w:val="16"/>
                <w:szCs w:val="16"/>
              </w:rPr>
            </w:pPr>
            <w:r>
              <w:rPr>
                <w:sz w:val="16"/>
                <w:szCs w:val="16"/>
              </w:rPr>
              <w:t>5.3</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Disposal Installations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34585B" w:rsidRDefault="00B902AA" w:rsidP="006B6EAC">
            <w:pPr>
              <w:pStyle w:val="Standardparagraph"/>
              <w:spacing w:before="40" w:after="40" w:line="240" w:lineRule="auto"/>
              <w:ind w:right="0"/>
              <w:jc w:val="center"/>
              <w:rPr>
                <w:sz w:val="16"/>
                <w:szCs w:val="16"/>
              </w:rPr>
            </w:pPr>
            <w:r>
              <w:rPr>
                <w:sz w:val="16"/>
                <w:szCs w:val="16"/>
              </w:rPr>
              <w:t>Nr</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1F6548" w:rsidP="0034585B">
            <w:pPr>
              <w:pStyle w:val="Standardparagraph"/>
              <w:spacing w:before="40" w:after="40" w:line="240" w:lineRule="auto"/>
              <w:ind w:right="0"/>
              <w:rPr>
                <w:sz w:val="16"/>
                <w:szCs w:val="16"/>
              </w:rPr>
            </w:pPr>
            <w:r>
              <w:rPr>
                <w:sz w:val="16"/>
                <w:szCs w:val="16"/>
              </w:rPr>
              <w:t>5.4</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Water Installations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B902AA" w:rsidRDefault="00B902AA"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1F6548" w:rsidP="0034585B">
            <w:pPr>
              <w:pStyle w:val="Standardparagraph"/>
              <w:spacing w:before="40" w:after="40" w:line="240" w:lineRule="auto"/>
              <w:ind w:right="0"/>
              <w:rPr>
                <w:sz w:val="16"/>
                <w:szCs w:val="16"/>
              </w:rPr>
            </w:pPr>
            <w:r>
              <w:rPr>
                <w:sz w:val="16"/>
                <w:szCs w:val="16"/>
              </w:rPr>
              <w:t>5.5</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Heat Source</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34585B" w:rsidRDefault="00B902AA" w:rsidP="006B6EAC">
            <w:pPr>
              <w:pStyle w:val="Standardparagraph"/>
              <w:spacing w:before="40" w:after="40" w:line="240" w:lineRule="auto"/>
              <w:ind w:right="0"/>
              <w:jc w:val="center"/>
              <w:rPr>
                <w:sz w:val="16"/>
                <w:szCs w:val="16"/>
              </w:rPr>
            </w:pPr>
            <w:r>
              <w:rPr>
                <w:sz w:val="16"/>
                <w:szCs w:val="16"/>
              </w:rPr>
              <w:t>kW</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1F6548" w:rsidP="0034585B">
            <w:pPr>
              <w:pStyle w:val="Standardparagraph"/>
              <w:spacing w:before="40" w:after="40" w:line="240" w:lineRule="auto"/>
              <w:ind w:right="0"/>
              <w:rPr>
                <w:sz w:val="16"/>
                <w:szCs w:val="16"/>
              </w:rPr>
            </w:pPr>
            <w:r>
              <w:rPr>
                <w:sz w:val="16"/>
                <w:szCs w:val="16"/>
              </w:rPr>
              <w:t>5.6</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Space Heating and Air Conditioning</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B902AA" w:rsidRDefault="00B902AA"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1F6548" w:rsidP="0034585B">
            <w:pPr>
              <w:pStyle w:val="Standardparagraph"/>
              <w:spacing w:before="40" w:after="40" w:line="240" w:lineRule="auto"/>
              <w:ind w:right="0"/>
              <w:rPr>
                <w:sz w:val="16"/>
                <w:szCs w:val="16"/>
              </w:rPr>
            </w:pPr>
            <w:r>
              <w:rPr>
                <w:sz w:val="16"/>
                <w:szCs w:val="16"/>
              </w:rPr>
              <w:t>5.7</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Ventilation Systems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B902AA" w:rsidRDefault="00B902AA"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1F6548" w:rsidP="0034585B">
            <w:pPr>
              <w:pStyle w:val="Standardparagraph"/>
              <w:spacing w:before="40" w:after="40" w:line="240" w:lineRule="auto"/>
              <w:ind w:right="0"/>
              <w:rPr>
                <w:sz w:val="16"/>
                <w:szCs w:val="16"/>
              </w:rPr>
            </w:pPr>
            <w:r>
              <w:rPr>
                <w:sz w:val="16"/>
                <w:szCs w:val="16"/>
              </w:rPr>
              <w:t>5.8</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Electrical Installations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B902AA" w:rsidRDefault="00B902AA"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34585B" w:rsidRPr="0034585B" w:rsidTr="006B6EAC">
        <w:tc>
          <w:tcPr>
            <w:tcW w:w="567" w:type="dxa"/>
          </w:tcPr>
          <w:p w:rsidR="0034585B" w:rsidRPr="0034585B" w:rsidRDefault="001F6548" w:rsidP="0034585B">
            <w:pPr>
              <w:pStyle w:val="Standardparagraph"/>
              <w:spacing w:before="40" w:after="40" w:line="240" w:lineRule="auto"/>
              <w:ind w:right="0"/>
              <w:rPr>
                <w:sz w:val="16"/>
                <w:szCs w:val="16"/>
              </w:rPr>
            </w:pPr>
            <w:r>
              <w:rPr>
                <w:sz w:val="16"/>
                <w:szCs w:val="16"/>
              </w:rPr>
              <w:t>5.9</w:t>
            </w:r>
          </w:p>
        </w:tc>
        <w:tc>
          <w:tcPr>
            <w:tcW w:w="4395" w:type="dxa"/>
          </w:tcPr>
          <w:p w:rsidR="0034585B" w:rsidRPr="0034585B" w:rsidRDefault="001F6548" w:rsidP="0034585B">
            <w:pPr>
              <w:pStyle w:val="Standardparagraph"/>
              <w:spacing w:before="40" w:after="40" w:line="240" w:lineRule="auto"/>
              <w:ind w:right="0"/>
              <w:rPr>
                <w:sz w:val="16"/>
                <w:szCs w:val="16"/>
              </w:rPr>
            </w:pPr>
            <w:r>
              <w:rPr>
                <w:sz w:val="16"/>
                <w:szCs w:val="16"/>
              </w:rPr>
              <w:t>Fuel Installations</w:t>
            </w:r>
          </w:p>
        </w:tc>
        <w:tc>
          <w:tcPr>
            <w:tcW w:w="1275" w:type="dxa"/>
          </w:tcPr>
          <w:p w:rsidR="0034585B" w:rsidRPr="0034585B" w:rsidRDefault="0034585B" w:rsidP="006B6EAC">
            <w:pPr>
              <w:pStyle w:val="Standardparagraph"/>
              <w:spacing w:before="40" w:after="40" w:line="240" w:lineRule="auto"/>
              <w:ind w:right="0"/>
              <w:jc w:val="right"/>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c>
          <w:tcPr>
            <w:tcW w:w="567" w:type="dxa"/>
          </w:tcPr>
          <w:p w:rsidR="0034585B" w:rsidRPr="00B902AA" w:rsidRDefault="00B902AA"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34585B" w:rsidRPr="0034585B" w:rsidRDefault="0034585B" w:rsidP="006B6EAC">
            <w:pPr>
              <w:pStyle w:val="Standardparagraph"/>
              <w:spacing w:before="40" w:after="40" w:line="240" w:lineRule="auto"/>
              <w:ind w:right="0"/>
              <w:jc w:val="center"/>
              <w:rPr>
                <w:sz w:val="16"/>
                <w:szCs w:val="16"/>
              </w:rPr>
            </w:pPr>
          </w:p>
        </w:tc>
      </w:tr>
      <w:tr w:rsidR="001F6548" w:rsidRPr="0034585B" w:rsidTr="006B6EAC">
        <w:tc>
          <w:tcPr>
            <w:tcW w:w="567" w:type="dxa"/>
          </w:tcPr>
          <w:p w:rsidR="001F6548" w:rsidRPr="0034585B" w:rsidRDefault="001F6548" w:rsidP="0034585B">
            <w:pPr>
              <w:pStyle w:val="Standardparagraph"/>
              <w:spacing w:before="40" w:after="40" w:line="240" w:lineRule="auto"/>
              <w:ind w:right="0"/>
              <w:rPr>
                <w:sz w:val="16"/>
                <w:szCs w:val="16"/>
              </w:rPr>
            </w:pPr>
            <w:r>
              <w:rPr>
                <w:sz w:val="16"/>
                <w:szCs w:val="16"/>
              </w:rPr>
              <w:t>5.10</w:t>
            </w:r>
          </w:p>
        </w:tc>
        <w:tc>
          <w:tcPr>
            <w:tcW w:w="4395" w:type="dxa"/>
          </w:tcPr>
          <w:p w:rsidR="001F6548" w:rsidRDefault="001F6548" w:rsidP="0034585B">
            <w:pPr>
              <w:pStyle w:val="Standardparagraph"/>
              <w:spacing w:before="40" w:after="40" w:line="240" w:lineRule="auto"/>
              <w:ind w:right="0"/>
              <w:rPr>
                <w:sz w:val="16"/>
                <w:szCs w:val="16"/>
              </w:rPr>
            </w:pPr>
            <w:r>
              <w:rPr>
                <w:sz w:val="16"/>
                <w:szCs w:val="16"/>
              </w:rPr>
              <w:t>Lift and Conveyor Installations</w:t>
            </w:r>
          </w:p>
        </w:tc>
        <w:tc>
          <w:tcPr>
            <w:tcW w:w="1275" w:type="dxa"/>
          </w:tcPr>
          <w:p w:rsidR="001F6548" w:rsidRPr="0034585B" w:rsidRDefault="001F6548" w:rsidP="006B6EAC">
            <w:pPr>
              <w:pStyle w:val="Standardparagraph"/>
              <w:spacing w:before="40" w:after="40" w:line="240" w:lineRule="auto"/>
              <w:ind w:right="0"/>
              <w:jc w:val="right"/>
              <w:rPr>
                <w:sz w:val="16"/>
                <w:szCs w:val="16"/>
              </w:rPr>
            </w:pP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c>
          <w:tcPr>
            <w:tcW w:w="567" w:type="dxa"/>
          </w:tcPr>
          <w:p w:rsidR="001F6548" w:rsidRPr="0034585B" w:rsidRDefault="00B902AA" w:rsidP="006B6EAC">
            <w:pPr>
              <w:pStyle w:val="Standardparagraph"/>
              <w:spacing w:before="40" w:after="40" w:line="240" w:lineRule="auto"/>
              <w:ind w:right="0"/>
              <w:jc w:val="center"/>
              <w:rPr>
                <w:sz w:val="16"/>
                <w:szCs w:val="16"/>
              </w:rPr>
            </w:pPr>
            <w:r>
              <w:rPr>
                <w:sz w:val="16"/>
                <w:szCs w:val="16"/>
              </w:rPr>
              <w:t>Nr</w:t>
            </w: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r>
      <w:tr w:rsidR="001F6548" w:rsidRPr="0034585B" w:rsidTr="006B6EAC">
        <w:tc>
          <w:tcPr>
            <w:tcW w:w="567" w:type="dxa"/>
          </w:tcPr>
          <w:p w:rsidR="001F6548" w:rsidRPr="0034585B" w:rsidRDefault="001F6548" w:rsidP="0034585B">
            <w:pPr>
              <w:pStyle w:val="Standardparagraph"/>
              <w:spacing w:before="40" w:after="40" w:line="240" w:lineRule="auto"/>
              <w:ind w:right="0"/>
              <w:rPr>
                <w:sz w:val="16"/>
                <w:szCs w:val="16"/>
              </w:rPr>
            </w:pPr>
            <w:r>
              <w:rPr>
                <w:sz w:val="16"/>
                <w:szCs w:val="16"/>
              </w:rPr>
              <w:t>5.11</w:t>
            </w:r>
          </w:p>
        </w:tc>
        <w:tc>
          <w:tcPr>
            <w:tcW w:w="4395" w:type="dxa"/>
          </w:tcPr>
          <w:p w:rsidR="001F6548" w:rsidRDefault="001F6548" w:rsidP="0034585B">
            <w:pPr>
              <w:pStyle w:val="Standardparagraph"/>
              <w:spacing w:before="40" w:after="40" w:line="240" w:lineRule="auto"/>
              <w:ind w:right="0"/>
              <w:rPr>
                <w:sz w:val="16"/>
                <w:szCs w:val="16"/>
              </w:rPr>
            </w:pPr>
            <w:r>
              <w:rPr>
                <w:sz w:val="16"/>
                <w:szCs w:val="16"/>
              </w:rPr>
              <w:t xml:space="preserve">Fire and Lightning </w:t>
            </w:r>
            <w:r w:rsidR="00B902AA">
              <w:rPr>
                <w:sz w:val="16"/>
                <w:szCs w:val="16"/>
              </w:rPr>
              <w:t>Protection</w:t>
            </w:r>
          </w:p>
        </w:tc>
        <w:tc>
          <w:tcPr>
            <w:tcW w:w="1275" w:type="dxa"/>
          </w:tcPr>
          <w:p w:rsidR="001F6548" w:rsidRPr="0034585B" w:rsidRDefault="001F6548" w:rsidP="006B6EAC">
            <w:pPr>
              <w:pStyle w:val="Standardparagraph"/>
              <w:spacing w:before="40" w:after="40" w:line="240" w:lineRule="auto"/>
              <w:ind w:right="0"/>
              <w:jc w:val="right"/>
              <w:rPr>
                <w:sz w:val="16"/>
                <w:szCs w:val="16"/>
              </w:rPr>
            </w:pP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c>
          <w:tcPr>
            <w:tcW w:w="567" w:type="dxa"/>
          </w:tcPr>
          <w:p w:rsidR="001F6548" w:rsidRPr="00B902AA" w:rsidRDefault="00B902AA"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r>
      <w:tr w:rsidR="001F6548" w:rsidRPr="0034585B" w:rsidTr="006B6EAC">
        <w:tc>
          <w:tcPr>
            <w:tcW w:w="567" w:type="dxa"/>
          </w:tcPr>
          <w:p w:rsidR="001F6548" w:rsidRPr="0034585B" w:rsidRDefault="001F6548" w:rsidP="0034585B">
            <w:pPr>
              <w:pStyle w:val="Standardparagraph"/>
              <w:spacing w:before="40" w:after="40" w:line="240" w:lineRule="auto"/>
              <w:ind w:right="0"/>
              <w:rPr>
                <w:sz w:val="16"/>
                <w:szCs w:val="16"/>
              </w:rPr>
            </w:pPr>
            <w:r>
              <w:rPr>
                <w:sz w:val="16"/>
                <w:szCs w:val="16"/>
              </w:rPr>
              <w:t>5.12</w:t>
            </w:r>
          </w:p>
        </w:tc>
        <w:tc>
          <w:tcPr>
            <w:tcW w:w="4395" w:type="dxa"/>
          </w:tcPr>
          <w:p w:rsidR="001F6548" w:rsidRDefault="001F6548" w:rsidP="0034585B">
            <w:pPr>
              <w:pStyle w:val="Standardparagraph"/>
              <w:spacing w:before="40" w:after="40" w:line="240" w:lineRule="auto"/>
              <w:ind w:right="0"/>
              <w:rPr>
                <w:sz w:val="16"/>
                <w:szCs w:val="16"/>
              </w:rPr>
            </w:pPr>
            <w:r>
              <w:rPr>
                <w:sz w:val="16"/>
                <w:szCs w:val="16"/>
              </w:rPr>
              <w:t>Communications, Security, and Control Installations</w:t>
            </w:r>
          </w:p>
        </w:tc>
        <w:tc>
          <w:tcPr>
            <w:tcW w:w="1275" w:type="dxa"/>
          </w:tcPr>
          <w:p w:rsidR="001F6548" w:rsidRPr="0034585B" w:rsidRDefault="001F6548" w:rsidP="006B6EAC">
            <w:pPr>
              <w:pStyle w:val="Standardparagraph"/>
              <w:spacing w:before="40" w:after="40" w:line="240" w:lineRule="auto"/>
              <w:ind w:right="0"/>
              <w:jc w:val="right"/>
              <w:rPr>
                <w:sz w:val="16"/>
                <w:szCs w:val="16"/>
              </w:rPr>
            </w:pP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c>
          <w:tcPr>
            <w:tcW w:w="567" w:type="dxa"/>
          </w:tcPr>
          <w:p w:rsidR="001F6548" w:rsidRPr="00B902AA" w:rsidRDefault="00B902AA"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r>
      <w:tr w:rsidR="001F6548" w:rsidRPr="0034585B" w:rsidTr="006B6EAC">
        <w:tc>
          <w:tcPr>
            <w:tcW w:w="567" w:type="dxa"/>
          </w:tcPr>
          <w:p w:rsidR="001F6548" w:rsidRPr="0034585B" w:rsidRDefault="001F6548" w:rsidP="0034585B">
            <w:pPr>
              <w:pStyle w:val="Standardparagraph"/>
              <w:spacing w:before="40" w:after="40" w:line="240" w:lineRule="auto"/>
              <w:ind w:right="0"/>
              <w:rPr>
                <w:sz w:val="16"/>
                <w:szCs w:val="16"/>
              </w:rPr>
            </w:pPr>
            <w:r>
              <w:rPr>
                <w:sz w:val="16"/>
                <w:szCs w:val="16"/>
              </w:rPr>
              <w:t>5.13</w:t>
            </w:r>
          </w:p>
        </w:tc>
        <w:tc>
          <w:tcPr>
            <w:tcW w:w="4395" w:type="dxa"/>
          </w:tcPr>
          <w:p w:rsidR="001F6548" w:rsidRDefault="001F6548" w:rsidP="0034585B">
            <w:pPr>
              <w:pStyle w:val="Standardparagraph"/>
              <w:spacing w:before="40" w:after="40" w:line="240" w:lineRule="auto"/>
              <w:ind w:right="0"/>
              <w:rPr>
                <w:sz w:val="16"/>
                <w:szCs w:val="16"/>
              </w:rPr>
            </w:pPr>
            <w:r>
              <w:rPr>
                <w:sz w:val="16"/>
                <w:szCs w:val="16"/>
              </w:rPr>
              <w:t>Specialist Installations</w:t>
            </w:r>
          </w:p>
        </w:tc>
        <w:tc>
          <w:tcPr>
            <w:tcW w:w="1275" w:type="dxa"/>
          </w:tcPr>
          <w:p w:rsidR="001F6548" w:rsidRPr="0034585B" w:rsidRDefault="001F6548" w:rsidP="006B6EAC">
            <w:pPr>
              <w:pStyle w:val="Standardparagraph"/>
              <w:spacing w:before="40" w:after="40" w:line="240" w:lineRule="auto"/>
              <w:ind w:right="0"/>
              <w:jc w:val="right"/>
              <w:rPr>
                <w:sz w:val="16"/>
                <w:szCs w:val="16"/>
              </w:rPr>
            </w:pP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c>
          <w:tcPr>
            <w:tcW w:w="567" w:type="dxa"/>
          </w:tcPr>
          <w:p w:rsidR="001F6548" w:rsidRPr="00B902AA" w:rsidRDefault="00B902AA"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r>
      <w:tr w:rsidR="001F6548" w:rsidRPr="0034585B" w:rsidTr="006B6EAC">
        <w:tc>
          <w:tcPr>
            <w:tcW w:w="567" w:type="dxa"/>
            <w:tcBorders>
              <w:bottom w:val="single" w:sz="4" w:space="0" w:color="auto"/>
            </w:tcBorders>
          </w:tcPr>
          <w:p w:rsidR="001F6548" w:rsidRPr="0034585B" w:rsidRDefault="001F6548" w:rsidP="0034585B">
            <w:pPr>
              <w:pStyle w:val="Standardparagraph"/>
              <w:spacing w:before="40" w:after="40" w:line="240" w:lineRule="auto"/>
              <w:ind w:right="0"/>
              <w:rPr>
                <w:sz w:val="16"/>
                <w:szCs w:val="16"/>
              </w:rPr>
            </w:pPr>
            <w:r>
              <w:rPr>
                <w:sz w:val="16"/>
                <w:szCs w:val="16"/>
              </w:rPr>
              <w:t>5.14</w:t>
            </w:r>
          </w:p>
        </w:tc>
        <w:tc>
          <w:tcPr>
            <w:tcW w:w="4395" w:type="dxa"/>
            <w:tcBorders>
              <w:bottom w:val="single" w:sz="4" w:space="0" w:color="auto"/>
            </w:tcBorders>
          </w:tcPr>
          <w:p w:rsidR="001F6548" w:rsidRDefault="001F6548" w:rsidP="0034585B">
            <w:pPr>
              <w:pStyle w:val="Standardparagraph"/>
              <w:spacing w:before="40" w:after="40" w:line="240" w:lineRule="auto"/>
              <w:ind w:right="0"/>
              <w:rPr>
                <w:sz w:val="16"/>
                <w:szCs w:val="16"/>
              </w:rPr>
            </w:pPr>
            <w:r>
              <w:rPr>
                <w:sz w:val="16"/>
                <w:szCs w:val="16"/>
              </w:rPr>
              <w:t>Builders Work in Connection with Services</w:t>
            </w:r>
          </w:p>
        </w:tc>
        <w:tc>
          <w:tcPr>
            <w:tcW w:w="1275" w:type="dxa"/>
            <w:tcBorders>
              <w:bottom w:val="single" w:sz="4" w:space="0" w:color="auto"/>
            </w:tcBorders>
          </w:tcPr>
          <w:p w:rsidR="001F6548" w:rsidRPr="0034585B" w:rsidRDefault="001F6548" w:rsidP="006B6EAC">
            <w:pPr>
              <w:pStyle w:val="Standardparagraph"/>
              <w:spacing w:before="40" w:after="40" w:line="240" w:lineRule="auto"/>
              <w:ind w:right="0"/>
              <w:jc w:val="right"/>
              <w:rPr>
                <w:sz w:val="16"/>
                <w:szCs w:val="16"/>
              </w:rPr>
            </w:pPr>
          </w:p>
        </w:tc>
        <w:tc>
          <w:tcPr>
            <w:tcW w:w="1134" w:type="dxa"/>
            <w:tcBorders>
              <w:bottom w:val="single" w:sz="4" w:space="0" w:color="auto"/>
            </w:tcBorders>
          </w:tcPr>
          <w:p w:rsidR="001F6548" w:rsidRPr="0034585B" w:rsidRDefault="001F6548" w:rsidP="006B6EAC">
            <w:pPr>
              <w:pStyle w:val="Standardparagraph"/>
              <w:spacing w:before="40" w:after="40" w:line="240" w:lineRule="auto"/>
              <w:ind w:right="0"/>
              <w:jc w:val="center"/>
              <w:rPr>
                <w:sz w:val="16"/>
                <w:szCs w:val="16"/>
              </w:rPr>
            </w:pPr>
          </w:p>
        </w:tc>
        <w:tc>
          <w:tcPr>
            <w:tcW w:w="1134" w:type="dxa"/>
            <w:tcBorders>
              <w:bottom w:val="single" w:sz="4" w:space="0" w:color="auto"/>
            </w:tcBorders>
          </w:tcPr>
          <w:p w:rsidR="001F6548" w:rsidRPr="0034585B" w:rsidRDefault="001F6548" w:rsidP="006B6EAC">
            <w:pPr>
              <w:pStyle w:val="Standardparagraph"/>
              <w:spacing w:before="40" w:after="40" w:line="240" w:lineRule="auto"/>
              <w:ind w:right="0"/>
              <w:jc w:val="center"/>
              <w:rPr>
                <w:sz w:val="16"/>
                <w:szCs w:val="16"/>
              </w:rPr>
            </w:pPr>
          </w:p>
        </w:tc>
        <w:tc>
          <w:tcPr>
            <w:tcW w:w="567" w:type="dxa"/>
            <w:tcBorders>
              <w:bottom w:val="single" w:sz="4" w:space="0" w:color="auto"/>
            </w:tcBorders>
          </w:tcPr>
          <w:p w:rsidR="001F6548" w:rsidRPr="00B902AA" w:rsidRDefault="00B902AA"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Borders>
              <w:bottom w:val="single" w:sz="4" w:space="0" w:color="auto"/>
            </w:tcBorders>
          </w:tcPr>
          <w:p w:rsidR="001F6548" w:rsidRPr="0034585B" w:rsidRDefault="001F6548" w:rsidP="006B6EAC">
            <w:pPr>
              <w:pStyle w:val="Standardparagraph"/>
              <w:spacing w:before="40" w:after="40" w:line="240" w:lineRule="auto"/>
              <w:ind w:right="0"/>
              <w:jc w:val="center"/>
              <w:rPr>
                <w:sz w:val="16"/>
                <w:szCs w:val="16"/>
              </w:rPr>
            </w:pPr>
          </w:p>
        </w:tc>
      </w:tr>
      <w:tr w:rsidR="001F6548" w:rsidRPr="0034585B" w:rsidTr="006B6EAC">
        <w:tc>
          <w:tcPr>
            <w:tcW w:w="567" w:type="dxa"/>
            <w:tcBorders>
              <w:bottom w:val="single" w:sz="4" w:space="0" w:color="auto"/>
            </w:tcBorders>
            <w:shd w:val="clear" w:color="auto" w:fill="B6DDE8" w:themeFill="accent5" w:themeFillTint="66"/>
          </w:tcPr>
          <w:p w:rsidR="001F6548" w:rsidRPr="0034585B" w:rsidRDefault="001F6548" w:rsidP="0034585B">
            <w:pPr>
              <w:pStyle w:val="Standardparagraph"/>
              <w:spacing w:before="40" w:after="40" w:line="240" w:lineRule="auto"/>
              <w:ind w:right="0"/>
              <w:rPr>
                <w:sz w:val="16"/>
                <w:szCs w:val="16"/>
              </w:rPr>
            </w:pPr>
          </w:p>
        </w:tc>
        <w:tc>
          <w:tcPr>
            <w:tcW w:w="4395" w:type="dxa"/>
            <w:tcBorders>
              <w:bottom w:val="single" w:sz="4" w:space="0" w:color="auto"/>
            </w:tcBorders>
            <w:shd w:val="clear" w:color="auto" w:fill="B6DDE8" w:themeFill="accent5" w:themeFillTint="66"/>
          </w:tcPr>
          <w:p w:rsidR="001F6548" w:rsidRDefault="001F6548" w:rsidP="001F6548">
            <w:pPr>
              <w:pStyle w:val="Standardparagraph"/>
              <w:spacing w:before="40" w:after="40" w:line="240" w:lineRule="auto"/>
              <w:ind w:right="0"/>
              <w:jc w:val="right"/>
              <w:rPr>
                <w:sz w:val="16"/>
                <w:szCs w:val="16"/>
              </w:rPr>
            </w:pPr>
            <w:r>
              <w:rPr>
                <w:sz w:val="16"/>
                <w:szCs w:val="16"/>
              </w:rPr>
              <w:t>Total Services</w:t>
            </w:r>
          </w:p>
        </w:tc>
        <w:tc>
          <w:tcPr>
            <w:tcW w:w="1275" w:type="dxa"/>
            <w:tcBorders>
              <w:bottom w:val="single" w:sz="4" w:space="0" w:color="auto"/>
            </w:tcBorders>
            <w:shd w:val="clear" w:color="auto" w:fill="B6DDE8" w:themeFill="accent5" w:themeFillTint="66"/>
          </w:tcPr>
          <w:p w:rsidR="001F6548" w:rsidRPr="0034585B" w:rsidRDefault="001F6548" w:rsidP="006B6EAC">
            <w:pPr>
              <w:pStyle w:val="Standardparagraph"/>
              <w:spacing w:before="40" w:after="40" w:line="240" w:lineRule="auto"/>
              <w:ind w:right="0"/>
              <w:jc w:val="right"/>
              <w:rPr>
                <w:sz w:val="16"/>
                <w:szCs w:val="16"/>
              </w:rPr>
            </w:pPr>
          </w:p>
        </w:tc>
        <w:tc>
          <w:tcPr>
            <w:tcW w:w="1134" w:type="dxa"/>
            <w:tcBorders>
              <w:bottom w:val="single" w:sz="4" w:space="0" w:color="auto"/>
            </w:tcBorders>
            <w:shd w:val="clear" w:color="auto" w:fill="B6DDE8" w:themeFill="accent5" w:themeFillTint="66"/>
          </w:tcPr>
          <w:p w:rsidR="001F6548" w:rsidRPr="0034585B" w:rsidRDefault="001F6548" w:rsidP="006B6EAC">
            <w:pPr>
              <w:pStyle w:val="Standardparagraph"/>
              <w:spacing w:before="40" w:after="40" w:line="240" w:lineRule="auto"/>
              <w:ind w:right="0"/>
              <w:jc w:val="center"/>
              <w:rPr>
                <w:sz w:val="16"/>
                <w:szCs w:val="16"/>
              </w:rPr>
            </w:pPr>
          </w:p>
        </w:tc>
        <w:tc>
          <w:tcPr>
            <w:tcW w:w="1134" w:type="dxa"/>
            <w:tcBorders>
              <w:bottom w:val="single" w:sz="4" w:space="0" w:color="auto"/>
            </w:tcBorders>
            <w:shd w:val="clear" w:color="auto" w:fill="B6DDE8" w:themeFill="accent5" w:themeFillTint="66"/>
          </w:tcPr>
          <w:p w:rsidR="001F6548" w:rsidRPr="0034585B" w:rsidRDefault="001F6548" w:rsidP="006B6EAC">
            <w:pPr>
              <w:pStyle w:val="Standardparagraph"/>
              <w:spacing w:before="40" w:after="40" w:line="240" w:lineRule="auto"/>
              <w:ind w:right="0"/>
              <w:jc w:val="center"/>
              <w:rPr>
                <w:sz w:val="16"/>
                <w:szCs w:val="16"/>
              </w:rPr>
            </w:pPr>
          </w:p>
        </w:tc>
        <w:tc>
          <w:tcPr>
            <w:tcW w:w="567" w:type="dxa"/>
            <w:tcBorders>
              <w:bottom w:val="single" w:sz="4" w:space="0" w:color="auto"/>
            </w:tcBorders>
            <w:shd w:val="clear" w:color="auto" w:fill="B6DDE8" w:themeFill="accent5" w:themeFillTint="66"/>
          </w:tcPr>
          <w:p w:rsidR="001F6548" w:rsidRPr="0034585B" w:rsidRDefault="001F6548" w:rsidP="006B6EAC">
            <w:pPr>
              <w:pStyle w:val="Standardparagraph"/>
              <w:spacing w:before="40" w:after="40" w:line="240" w:lineRule="auto"/>
              <w:ind w:right="0"/>
              <w:jc w:val="center"/>
              <w:rPr>
                <w:sz w:val="16"/>
                <w:szCs w:val="16"/>
              </w:rPr>
            </w:pPr>
          </w:p>
        </w:tc>
        <w:tc>
          <w:tcPr>
            <w:tcW w:w="1134" w:type="dxa"/>
            <w:tcBorders>
              <w:bottom w:val="single" w:sz="4" w:space="0" w:color="auto"/>
            </w:tcBorders>
            <w:shd w:val="clear" w:color="auto" w:fill="B6DDE8" w:themeFill="accent5" w:themeFillTint="66"/>
          </w:tcPr>
          <w:p w:rsidR="001F6548" w:rsidRPr="0034585B" w:rsidRDefault="001F6548" w:rsidP="006B6EAC">
            <w:pPr>
              <w:pStyle w:val="Standardparagraph"/>
              <w:spacing w:before="40" w:after="40" w:line="240" w:lineRule="auto"/>
              <w:ind w:right="0"/>
              <w:jc w:val="center"/>
              <w:rPr>
                <w:sz w:val="16"/>
                <w:szCs w:val="16"/>
              </w:rPr>
            </w:pPr>
          </w:p>
        </w:tc>
      </w:tr>
      <w:tr w:rsidR="001F6548" w:rsidRPr="0034585B" w:rsidTr="006B6EAC">
        <w:tc>
          <w:tcPr>
            <w:tcW w:w="567" w:type="dxa"/>
            <w:shd w:val="clear" w:color="auto" w:fill="B6DDE8" w:themeFill="accent5" w:themeFillTint="66"/>
          </w:tcPr>
          <w:p w:rsidR="001F6548" w:rsidRPr="0034585B" w:rsidRDefault="001F6548" w:rsidP="0034585B">
            <w:pPr>
              <w:pStyle w:val="Standardparagraph"/>
              <w:spacing w:before="40" w:after="40" w:line="240" w:lineRule="auto"/>
              <w:ind w:right="0"/>
              <w:rPr>
                <w:sz w:val="16"/>
                <w:szCs w:val="16"/>
              </w:rPr>
            </w:pPr>
            <w:r>
              <w:rPr>
                <w:sz w:val="16"/>
                <w:szCs w:val="16"/>
              </w:rPr>
              <w:t>6</w:t>
            </w:r>
          </w:p>
        </w:tc>
        <w:tc>
          <w:tcPr>
            <w:tcW w:w="4395" w:type="dxa"/>
            <w:shd w:val="clear" w:color="auto" w:fill="B6DDE8" w:themeFill="accent5" w:themeFillTint="66"/>
          </w:tcPr>
          <w:p w:rsidR="001F6548" w:rsidRDefault="001F6548" w:rsidP="0034585B">
            <w:pPr>
              <w:pStyle w:val="Standardparagraph"/>
              <w:spacing w:before="40" w:after="40" w:line="240" w:lineRule="auto"/>
              <w:ind w:right="0"/>
              <w:rPr>
                <w:sz w:val="16"/>
                <w:szCs w:val="16"/>
              </w:rPr>
            </w:pPr>
            <w:r>
              <w:rPr>
                <w:sz w:val="16"/>
                <w:szCs w:val="16"/>
              </w:rPr>
              <w:t>PREFABRICATED BUILDING AND BUILDING UNITS</w:t>
            </w:r>
          </w:p>
        </w:tc>
        <w:tc>
          <w:tcPr>
            <w:tcW w:w="1275" w:type="dxa"/>
            <w:shd w:val="clear" w:color="auto" w:fill="B6DDE8" w:themeFill="accent5" w:themeFillTint="66"/>
          </w:tcPr>
          <w:p w:rsidR="001F6548" w:rsidRPr="0034585B" w:rsidRDefault="001F6548" w:rsidP="006B6EAC">
            <w:pPr>
              <w:pStyle w:val="Standardparagraph"/>
              <w:spacing w:before="40" w:after="40" w:line="240" w:lineRule="auto"/>
              <w:ind w:right="0"/>
              <w:jc w:val="right"/>
              <w:rPr>
                <w:sz w:val="16"/>
                <w:szCs w:val="16"/>
              </w:rPr>
            </w:pPr>
          </w:p>
        </w:tc>
        <w:tc>
          <w:tcPr>
            <w:tcW w:w="1134" w:type="dxa"/>
            <w:shd w:val="clear" w:color="auto" w:fill="B6DDE8" w:themeFill="accent5" w:themeFillTint="66"/>
          </w:tcPr>
          <w:p w:rsidR="001F6548" w:rsidRPr="0034585B" w:rsidRDefault="001F6548" w:rsidP="006B6EAC">
            <w:pPr>
              <w:pStyle w:val="Standardparagraph"/>
              <w:spacing w:before="40" w:after="40" w:line="240" w:lineRule="auto"/>
              <w:ind w:right="0"/>
              <w:jc w:val="center"/>
              <w:rPr>
                <w:sz w:val="16"/>
                <w:szCs w:val="16"/>
              </w:rPr>
            </w:pPr>
          </w:p>
        </w:tc>
        <w:tc>
          <w:tcPr>
            <w:tcW w:w="1134" w:type="dxa"/>
            <w:shd w:val="clear" w:color="auto" w:fill="B6DDE8" w:themeFill="accent5" w:themeFillTint="66"/>
          </w:tcPr>
          <w:p w:rsidR="001F6548" w:rsidRPr="0034585B" w:rsidRDefault="001F6548" w:rsidP="006B6EAC">
            <w:pPr>
              <w:pStyle w:val="Standardparagraph"/>
              <w:spacing w:before="40" w:after="40" w:line="240" w:lineRule="auto"/>
              <w:ind w:right="0"/>
              <w:jc w:val="center"/>
              <w:rPr>
                <w:sz w:val="16"/>
                <w:szCs w:val="16"/>
              </w:rPr>
            </w:pPr>
          </w:p>
        </w:tc>
        <w:tc>
          <w:tcPr>
            <w:tcW w:w="567" w:type="dxa"/>
            <w:shd w:val="clear" w:color="auto" w:fill="B6DDE8" w:themeFill="accent5" w:themeFillTint="66"/>
          </w:tcPr>
          <w:p w:rsidR="001F6548" w:rsidRPr="00B902AA" w:rsidRDefault="00B902AA"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B6DDE8" w:themeFill="accent5" w:themeFillTint="66"/>
          </w:tcPr>
          <w:p w:rsidR="001F6548" w:rsidRPr="0034585B" w:rsidRDefault="001F6548" w:rsidP="006B6EAC">
            <w:pPr>
              <w:pStyle w:val="Standardparagraph"/>
              <w:spacing w:before="40" w:after="40" w:line="240" w:lineRule="auto"/>
              <w:ind w:right="0"/>
              <w:jc w:val="center"/>
              <w:rPr>
                <w:sz w:val="16"/>
                <w:szCs w:val="16"/>
              </w:rPr>
            </w:pPr>
          </w:p>
        </w:tc>
      </w:tr>
      <w:tr w:rsidR="001F6548" w:rsidRPr="0034585B" w:rsidTr="006B6EAC">
        <w:tc>
          <w:tcPr>
            <w:tcW w:w="567" w:type="dxa"/>
          </w:tcPr>
          <w:p w:rsidR="001F6548" w:rsidRPr="0034585B" w:rsidRDefault="001F6548" w:rsidP="0034585B">
            <w:pPr>
              <w:pStyle w:val="Standardparagraph"/>
              <w:spacing w:before="40" w:after="40" w:line="240" w:lineRule="auto"/>
              <w:ind w:right="0"/>
              <w:rPr>
                <w:sz w:val="16"/>
                <w:szCs w:val="16"/>
              </w:rPr>
            </w:pPr>
            <w:r>
              <w:rPr>
                <w:sz w:val="16"/>
                <w:szCs w:val="16"/>
              </w:rPr>
              <w:t>7</w:t>
            </w:r>
          </w:p>
        </w:tc>
        <w:tc>
          <w:tcPr>
            <w:tcW w:w="4395" w:type="dxa"/>
          </w:tcPr>
          <w:p w:rsidR="001F6548" w:rsidRDefault="001F6548" w:rsidP="0034585B">
            <w:pPr>
              <w:pStyle w:val="Standardparagraph"/>
              <w:spacing w:before="40" w:after="40" w:line="240" w:lineRule="auto"/>
              <w:ind w:right="0"/>
              <w:rPr>
                <w:sz w:val="16"/>
                <w:szCs w:val="16"/>
              </w:rPr>
            </w:pPr>
            <w:r>
              <w:rPr>
                <w:sz w:val="16"/>
                <w:szCs w:val="16"/>
              </w:rPr>
              <w:t>WORK TO EXISTING BUILDING</w:t>
            </w:r>
          </w:p>
        </w:tc>
        <w:tc>
          <w:tcPr>
            <w:tcW w:w="1275" w:type="dxa"/>
          </w:tcPr>
          <w:p w:rsidR="001F6548" w:rsidRPr="0034585B" w:rsidRDefault="001F6548" w:rsidP="006B6EAC">
            <w:pPr>
              <w:pStyle w:val="Standardparagraph"/>
              <w:spacing w:before="40" w:after="40" w:line="240" w:lineRule="auto"/>
              <w:ind w:right="0"/>
              <w:jc w:val="right"/>
              <w:rPr>
                <w:sz w:val="16"/>
                <w:szCs w:val="16"/>
              </w:rPr>
            </w:pP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c>
          <w:tcPr>
            <w:tcW w:w="567" w:type="dxa"/>
          </w:tcPr>
          <w:p w:rsidR="001F6548" w:rsidRPr="0034585B" w:rsidRDefault="001F6548" w:rsidP="006B6EAC">
            <w:pPr>
              <w:pStyle w:val="Standardparagraph"/>
              <w:spacing w:before="40" w:after="40" w:line="240" w:lineRule="auto"/>
              <w:ind w:right="0"/>
              <w:jc w:val="center"/>
              <w:rPr>
                <w:sz w:val="16"/>
                <w:szCs w:val="16"/>
              </w:rPr>
            </w:pPr>
          </w:p>
        </w:tc>
        <w:tc>
          <w:tcPr>
            <w:tcW w:w="1134" w:type="dxa"/>
          </w:tcPr>
          <w:p w:rsidR="001F6548" w:rsidRPr="0034585B" w:rsidRDefault="001F6548" w:rsidP="006B6EAC">
            <w:pPr>
              <w:pStyle w:val="Standardparagraph"/>
              <w:spacing w:before="40" w:after="40" w:line="240" w:lineRule="auto"/>
              <w:ind w:right="0"/>
              <w:jc w:val="center"/>
              <w:rPr>
                <w:sz w:val="16"/>
                <w:szCs w:val="16"/>
              </w:rPr>
            </w:pPr>
          </w:p>
        </w:tc>
      </w:tr>
      <w:tr w:rsidR="001F6548" w:rsidRPr="0034585B" w:rsidTr="006B6EAC">
        <w:tc>
          <w:tcPr>
            <w:tcW w:w="567" w:type="dxa"/>
            <w:tcBorders>
              <w:bottom w:val="single" w:sz="4" w:space="0" w:color="auto"/>
            </w:tcBorders>
          </w:tcPr>
          <w:p w:rsidR="001F6548" w:rsidRPr="0034585B" w:rsidRDefault="001F6548" w:rsidP="0034585B">
            <w:pPr>
              <w:pStyle w:val="Standardparagraph"/>
              <w:spacing w:before="40" w:after="40" w:line="240" w:lineRule="auto"/>
              <w:ind w:right="0"/>
              <w:rPr>
                <w:sz w:val="16"/>
                <w:szCs w:val="16"/>
              </w:rPr>
            </w:pPr>
            <w:r>
              <w:rPr>
                <w:sz w:val="16"/>
                <w:szCs w:val="16"/>
              </w:rPr>
              <w:t>7.1</w:t>
            </w:r>
          </w:p>
        </w:tc>
        <w:tc>
          <w:tcPr>
            <w:tcW w:w="4395" w:type="dxa"/>
            <w:tcBorders>
              <w:bottom w:val="single" w:sz="4" w:space="0" w:color="auto"/>
            </w:tcBorders>
          </w:tcPr>
          <w:p w:rsidR="001F6548" w:rsidRDefault="001F6548" w:rsidP="0034585B">
            <w:pPr>
              <w:pStyle w:val="Standardparagraph"/>
              <w:spacing w:before="40" w:after="40" w:line="240" w:lineRule="auto"/>
              <w:ind w:right="0"/>
              <w:rPr>
                <w:sz w:val="16"/>
                <w:szCs w:val="16"/>
              </w:rPr>
            </w:pPr>
            <w:r>
              <w:rPr>
                <w:sz w:val="16"/>
                <w:szCs w:val="16"/>
              </w:rPr>
              <w:t>Minor Demolition and Alteration Works</w:t>
            </w:r>
          </w:p>
        </w:tc>
        <w:tc>
          <w:tcPr>
            <w:tcW w:w="1275" w:type="dxa"/>
            <w:tcBorders>
              <w:bottom w:val="single" w:sz="4" w:space="0" w:color="auto"/>
            </w:tcBorders>
          </w:tcPr>
          <w:p w:rsidR="001F6548" w:rsidRPr="0034585B" w:rsidRDefault="001F6548" w:rsidP="006B6EAC">
            <w:pPr>
              <w:pStyle w:val="Standardparagraph"/>
              <w:spacing w:before="40" w:after="40" w:line="240" w:lineRule="auto"/>
              <w:ind w:right="0"/>
              <w:jc w:val="right"/>
              <w:rPr>
                <w:sz w:val="16"/>
                <w:szCs w:val="16"/>
              </w:rPr>
            </w:pPr>
          </w:p>
        </w:tc>
        <w:tc>
          <w:tcPr>
            <w:tcW w:w="1134" w:type="dxa"/>
            <w:tcBorders>
              <w:bottom w:val="single" w:sz="4" w:space="0" w:color="auto"/>
            </w:tcBorders>
          </w:tcPr>
          <w:p w:rsidR="001F6548" w:rsidRPr="0034585B" w:rsidRDefault="001F6548" w:rsidP="006B6EAC">
            <w:pPr>
              <w:pStyle w:val="Standardparagraph"/>
              <w:spacing w:before="40" w:after="40" w:line="240" w:lineRule="auto"/>
              <w:ind w:right="0"/>
              <w:jc w:val="center"/>
              <w:rPr>
                <w:sz w:val="16"/>
                <w:szCs w:val="16"/>
              </w:rPr>
            </w:pPr>
          </w:p>
        </w:tc>
        <w:tc>
          <w:tcPr>
            <w:tcW w:w="1134" w:type="dxa"/>
            <w:tcBorders>
              <w:bottom w:val="single" w:sz="4" w:space="0" w:color="auto"/>
            </w:tcBorders>
          </w:tcPr>
          <w:p w:rsidR="001F6548" w:rsidRPr="0034585B" w:rsidRDefault="001F6548" w:rsidP="006B6EAC">
            <w:pPr>
              <w:pStyle w:val="Standardparagraph"/>
              <w:spacing w:before="40" w:after="40" w:line="240" w:lineRule="auto"/>
              <w:ind w:right="0"/>
              <w:jc w:val="center"/>
              <w:rPr>
                <w:sz w:val="16"/>
                <w:szCs w:val="16"/>
              </w:rPr>
            </w:pPr>
          </w:p>
        </w:tc>
        <w:tc>
          <w:tcPr>
            <w:tcW w:w="567" w:type="dxa"/>
            <w:tcBorders>
              <w:bottom w:val="single" w:sz="4" w:space="0" w:color="auto"/>
            </w:tcBorders>
          </w:tcPr>
          <w:p w:rsidR="001F6548" w:rsidRPr="00B902AA" w:rsidRDefault="00B902AA" w:rsidP="006B6EAC">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Borders>
              <w:bottom w:val="single" w:sz="4" w:space="0" w:color="auto"/>
            </w:tcBorders>
          </w:tcPr>
          <w:p w:rsidR="001F6548" w:rsidRPr="0034585B" w:rsidRDefault="001F6548" w:rsidP="006B6EAC">
            <w:pPr>
              <w:pStyle w:val="Standardparagraph"/>
              <w:spacing w:before="40" w:after="40" w:line="240" w:lineRule="auto"/>
              <w:ind w:right="0"/>
              <w:jc w:val="center"/>
              <w:rPr>
                <w:sz w:val="16"/>
                <w:szCs w:val="16"/>
              </w:rPr>
            </w:pPr>
          </w:p>
        </w:tc>
      </w:tr>
      <w:tr w:rsidR="001F6548" w:rsidRPr="0034585B" w:rsidTr="006B6EAC">
        <w:tc>
          <w:tcPr>
            <w:tcW w:w="567" w:type="dxa"/>
            <w:shd w:val="clear" w:color="auto" w:fill="B6DDE8" w:themeFill="accent5" w:themeFillTint="66"/>
          </w:tcPr>
          <w:p w:rsidR="001F6548" w:rsidRPr="0034585B" w:rsidRDefault="001F6548" w:rsidP="0034585B">
            <w:pPr>
              <w:pStyle w:val="Standardparagraph"/>
              <w:spacing w:before="40" w:after="40" w:line="240" w:lineRule="auto"/>
              <w:ind w:right="0"/>
              <w:rPr>
                <w:sz w:val="16"/>
                <w:szCs w:val="16"/>
              </w:rPr>
            </w:pPr>
          </w:p>
        </w:tc>
        <w:tc>
          <w:tcPr>
            <w:tcW w:w="4395" w:type="dxa"/>
            <w:shd w:val="clear" w:color="auto" w:fill="B6DDE8" w:themeFill="accent5" w:themeFillTint="66"/>
          </w:tcPr>
          <w:p w:rsidR="001F6548" w:rsidRDefault="001F6548" w:rsidP="001F6548">
            <w:pPr>
              <w:pStyle w:val="Standardparagraph"/>
              <w:spacing w:before="40" w:after="40" w:line="240" w:lineRule="auto"/>
              <w:ind w:right="0"/>
              <w:jc w:val="right"/>
              <w:rPr>
                <w:sz w:val="16"/>
                <w:szCs w:val="16"/>
              </w:rPr>
            </w:pPr>
            <w:r>
              <w:rPr>
                <w:sz w:val="16"/>
                <w:szCs w:val="16"/>
              </w:rPr>
              <w:t>Total Work to Existing Building</w:t>
            </w:r>
          </w:p>
        </w:tc>
        <w:tc>
          <w:tcPr>
            <w:tcW w:w="1275" w:type="dxa"/>
            <w:shd w:val="clear" w:color="auto" w:fill="B6DDE8" w:themeFill="accent5" w:themeFillTint="66"/>
          </w:tcPr>
          <w:p w:rsidR="001F6548" w:rsidRPr="0034585B" w:rsidRDefault="001F6548" w:rsidP="006B6EAC">
            <w:pPr>
              <w:pStyle w:val="Standardparagraph"/>
              <w:spacing w:before="40" w:after="40" w:line="240" w:lineRule="auto"/>
              <w:ind w:right="0"/>
              <w:jc w:val="right"/>
              <w:rPr>
                <w:sz w:val="16"/>
                <w:szCs w:val="16"/>
              </w:rPr>
            </w:pPr>
          </w:p>
        </w:tc>
        <w:tc>
          <w:tcPr>
            <w:tcW w:w="1134" w:type="dxa"/>
            <w:shd w:val="clear" w:color="auto" w:fill="B6DDE8" w:themeFill="accent5" w:themeFillTint="66"/>
          </w:tcPr>
          <w:p w:rsidR="001F6548" w:rsidRPr="0034585B" w:rsidRDefault="001F6548" w:rsidP="006B6EAC">
            <w:pPr>
              <w:pStyle w:val="Standardparagraph"/>
              <w:spacing w:before="40" w:after="40" w:line="240" w:lineRule="auto"/>
              <w:ind w:right="0"/>
              <w:jc w:val="center"/>
              <w:rPr>
                <w:sz w:val="16"/>
                <w:szCs w:val="16"/>
              </w:rPr>
            </w:pPr>
          </w:p>
        </w:tc>
        <w:tc>
          <w:tcPr>
            <w:tcW w:w="1134" w:type="dxa"/>
            <w:shd w:val="clear" w:color="auto" w:fill="B6DDE8" w:themeFill="accent5" w:themeFillTint="66"/>
          </w:tcPr>
          <w:p w:rsidR="001F6548" w:rsidRPr="0034585B" w:rsidRDefault="001F6548" w:rsidP="006B6EAC">
            <w:pPr>
              <w:pStyle w:val="Standardparagraph"/>
              <w:spacing w:before="40" w:after="40" w:line="240" w:lineRule="auto"/>
              <w:ind w:right="0"/>
              <w:jc w:val="center"/>
              <w:rPr>
                <w:sz w:val="16"/>
                <w:szCs w:val="16"/>
              </w:rPr>
            </w:pPr>
          </w:p>
        </w:tc>
        <w:tc>
          <w:tcPr>
            <w:tcW w:w="567" w:type="dxa"/>
            <w:shd w:val="clear" w:color="auto" w:fill="B6DDE8" w:themeFill="accent5" w:themeFillTint="66"/>
          </w:tcPr>
          <w:p w:rsidR="001F6548" w:rsidRPr="0034585B" w:rsidRDefault="001F6548" w:rsidP="006B6EAC">
            <w:pPr>
              <w:pStyle w:val="Standardparagraph"/>
              <w:spacing w:before="40" w:after="40" w:line="240" w:lineRule="auto"/>
              <w:ind w:right="0"/>
              <w:jc w:val="center"/>
              <w:rPr>
                <w:sz w:val="16"/>
                <w:szCs w:val="16"/>
              </w:rPr>
            </w:pPr>
          </w:p>
        </w:tc>
        <w:tc>
          <w:tcPr>
            <w:tcW w:w="1134" w:type="dxa"/>
            <w:shd w:val="clear" w:color="auto" w:fill="B6DDE8" w:themeFill="accent5" w:themeFillTint="66"/>
          </w:tcPr>
          <w:p w:rsidR="001F6548" w:rsidRPr="0034585B" w:rsidRDefault="001F6548" w:rsidP="006B6EAC">
            <w:pPr>
              <w:pStyle w:val="Standardparagraph"/>
              <w:spacing w:before="40" w:after="40" w:line="240" w:lineRule="auto"/>
              <w:ind w:right="0"/>
              <w:jc w:val="center"/>
              <w:rPr>
                <w:sz w:val="16"/>
                <w:szCs w:val="16"/>
              </w:rPr>
            </w:pPr>
          </w:p>
        </w:tc>
      </w:tr>
    </w:tbl>
    <w:p w:rsidR="0002066C" w:rsidRDefault="0002066C" w:rsidP="0002066C">
      <w:pPr>
        <w:pStyle w:val="Standardparagraph"/>
      </w:pPr>
    </w:p>
    <w:p w:rsidR="00B902AA" w:rsidRDefault="00B902AA">
      <w:pPr>
        <w:rPr>
          <w:rFonts w:ascii="Arial" w:eastAsia="Times New Roman" w:hAnsi="Arial" w:cs="Times New Roman"/>
          <w:sz w:val="24"/>
          <w:szCs w:val="20"/>
        </w:rPr>
      </w:pPr>
      <w:r>
        <w:br w:type="page"/>
      </w:r>
    </w:p>
    <w:tbl>
      <w:tblPr>
        <w:tblStyle w:val="TableGrid"/>
        <w:tblW w:w="10206" w:type="dxa"/>
        <w:tblInd w:w="-459" w:type="dxa"/>
        <w:tblLook w:val="04A0"/>
      </w:tblPr>
      <w:tblGrid>
        <w:gridCol w:w="567"/>
        <w:gridCol w:w="4536"/>
        <w:gridCol w:w="1276"/>
        <w:gridCol w:w="1134"/>
        <w:gridCol w:w="992"/>
        <w:gridCol w:w="567"/>
        <w:gridCol w:w="1134"/>
      </w:tblGrid>
      <w:tr w:rsidR="00B902AA" w:rsidRPr="0034585B" w:rsidTr="006B6EAC">
        <w:tc>
          <w:tcPr>
            <w:tcW w:w="567" w:type="dxa"/>
            <w:vMerge w:val="restart"/>
            <w:shd w:val="clear" w:color="auto" w:fill="92CDDC" w:themeFill="accent5" w:themeFillTint="99"/>
          </w:tcPr>
          <w:p w:rsidR="00B902AA" w:rsidRPr="00B902AA" w:rsidRDefault="00B902AA" w:rsidP="00B902AA">
            <w:pPr>
              <w:pStyle w:val="Standardparagraph"/>
              <w:spacing w:before="40" w:after="40" w:line="240" w:lineRule="auto"/>
              <w:ind w:right="0"/>
              <w:rPr>
                <w:b/>
                <w:sz w:val="16"/>
                <w:szCs w:val="16"/>
              </w:rPr>
            </w:pPr>
          </w:p>
        </w:tc>
        <w:tc>
          <w:tcPr>
            <w:tcW w:w="4536" w:type="dxa"/>
            <w:vMerge w:val="restart"/>
            <w:shd w:val="clear" w:color="auto" w:fill="92CDDC" w:themeFill="accent5" w:themeFillTint="99"/>
          </w:tcPr>
          <w:p w:rsidR="00B902AA" w:rsidRPr="00B902AA" w:rsidRDefault="00B902AA" w:rsidP="00B902AA">
            <w:pPr>
              <w:pStyle w:val="Standardparagraph"/>
              <w:spacing w:before="40" w:after="40" w:line="240" w:lineRule="auto"/>
              <w:ind w:right="0"/>
              <w:rPr>
                <w:b/>
                <w:sz w:val="16"/>
                <w:szCs w:val="16"/>
              </w:rPr>
            </w:pPr>
            <w:r w:rsidRPr="00B902AA">
              <w:rPr>
                <w:b/>
                <w:sz w:val="16"/>
                <w:szCs w:val="16"/>
              </w:rPr>
              <w:t>ELEMENT</w:t>
            </w:r>
          </w:p>
        </w:tc>
        <w:tc>
          <w:tcPr>
            <w:tcW w:w="5103" w:type="dxa"/>
            <w:gridSpan w:val="5"/>
            <w:shd w:val="clear" w:color="auto" w:fill="92CDDC" w:themeFill="accent5" w:themeFillTint="99"/>
            <w:vAlign w:val="center"/>
          </w:tcPr>
          <w:p w:rsidR="00B902AA" w:rsidRPr="00B902AA" w:rsidRDefault="00B902AA" w:rsidP="00B902AA">
            <w:pPr>
              <w:pStyle w:val="Standardparagraph"/>
              <w:spacing w:before="40" w:after="40" w:line="240" w:lineRule="auto"/>
              <w:ind w:right="0"/>
              <w:jc w:val="center"/>
              <w:rPr>
                <w:b/>
                <w:sz w:val="16"/>
                <w:szCs w:val="16"/>
              </w:rPr>
            </w:pPr>
            <w:r w:rsidRPr="00B902AA">
              <w:rPr>
                <w:b/>
                <w:sz w:val="16"/>
                <w:szCs w:val="16"/>
              </w:rPr>
              <w:t>Element</w:t>
            </w:r>
          </w:p>
        </w:tc>
      </w:tr>
      <w:tr w:rsidR="00B902AA" w:rsidRPr="0034585B" w:rsidTr="006B6EAC">
        <w:tc>
          <w:tcPr>
            <w:tcW w:w="567" w:type="dxa"/>
            <w:vMerge/>
            <w:tcBorders>
              <w:bottom w:val="single" w:sz="4" w:space="0" w:color="auto"/>
            </w:tcBorders>
            <w:shd w:val="clear" w:color="auto" w:fill="92CDDC" w:themeFill="accent5" w:themeFillTint="99"/>
          </w:tcPr>
          <w:p w:rsidR="00B902AA" w:rsidRPr="00B902AA" w:rsidRDefault="00B902AA" w:rsidP="00B902AA">
            <w:pPr>
              <w:pStyle w:val="Standardparagraph"/>
              <w:spacing w:before="40" w:after="40" w:line="240" w:lineRule="auto"/>
              <w:ind w:right="0"/>
              <w:rPr>
                <w:b/>
                <w:sz w:val="16"/>
                <w:szCs w:val="16"/>
              </w:rPr>
            </w:pPr>
          </w:p>
        </w:tc>
        <w:tc>
          <w:tcPr>
            <w:tcW w:w="4536" w:type="dxa"/>
            <w:vMerge/>
            <w:tcBorders>
              <w:bottom w:val="single" w:sz="4" w:space="0" w:color="auto"/>
            </w:tcBorders>
            <w:shd w:val="clear" w:color="auto" w:fill="92CDDC" w:themeFill="accent5" w:themeFillTint="99"/>
          </w:tcPr>
          <w:p w:rsidR="00B902AA" w:rsidRPr="00B902AA" w:rsidRDefault="00B902AA" w:rsidP="00B902AA">
            <w:pPr>
              <w:pStyle w:val="Standardparagraph"/>
              <w:spacing w:before="40" w:after="40" w:line="240" w:lineRule="auto"/>
              <w:ind w:right="0"/>
              <w:rPr>
                <w:b/>
                <w:sz w:val="16"/>
                <w:szCs w:val="16"/>
              </w:rPr>
            </w:pPr>
          </w:p>
        </w:tc>
        <w:tc>
          <w:tcPr>
            <w:tcW w:w="1276" w:type="dxa"/>
            <w:tcBorders>
              <w:bottom w:val="single" w:sz="4" w:space="0" w:color="auto"/>
            </w:tcBorders>
            <w:shd w:val="clear" w:color="auto" w:fill="92CDDC" w:themeFill="accent5" w:themeFillTint="99"/>
            <w:vAlign w:val="center"/>
          </w:tcPr>
          <w:p w:rsidR="00B902AA" w:rsidRPr="00B902AA" w:rsidRDefault="00B902AA" w:rsidP="00B902AA">
            <w:pPr>
              <w:pStyle w:val="Standardparagraph"/>
              <w:spacing w:before="40" w:after="40" w:line="240" w:lineRule="auto"/>
              <w:ind w:right="0"/>
              <w:jc w:val="center"/>
              <w:rPr>
                <w:b/>
                <w:sz w:val="16"/>
                <w:szCs w:val="16"/>
              </w:rPr>
            </w:pPr>
            <w:r w:rsidRPr="00B902AA">
              <w:rPr>
                <w:b/>
                <w:sz w:val="16"/>
                <w:szCs w:val="16"/>
              </w:rPr>
              <w:t>Total Cost  £</w:t>
            </w:r>
          </w:p>
        </w:tc>
        <w:tc>
          <w:tcPr>
            <w:tcW w:w="1134" w:type="dxa"/>
            <w:tcBorders>
              <w:bottom w:val="single" w:sz="4" w:space="0" w:color="auto"/>
            </w:tcBorders>
            <w:shd w:val="clear" w:color="auto" w:fill="92CDDC" w:themeFill="accent5" w:themeFillTint="99"/>
            <w:vAlign w:val="center"/>
          </w:tcPr>
          <w:p w:rsidR="00B902AA" w:rsidRPr="00B902AA" w:rsidRDefault="00B902AA" w:rsidP="00B902AA">
            <w:pPr>
              <w:pStyle w:val="Standardparagraph"/>
              <w:spacing w:before="40" w:after="40" w:line="240" w:lineRule="auto"/>
              <w:ind w:right="0"/>
              <w:jc w:val="center"/>
              <w:rPr>
                <w:b/>
                <w:sz w:val="16"/>
                <w:szCs w:val="16"/>
              </w:rPr>
            </w:pPr>
            <w:r w:rsidRPr="00B902AA">
              <w:rPr>
                <w:b/>
                <w:sz w:val="16"/>
                <w:szCs w:val="16"/>
              </w:rPr>
              <w:t>Cost per m</w:t>
            </w:r>
            <w:r w:rsidRPr="00B902AA">
              <w:rPr>
                <w:b/>
                <w:sz w:val="16"/>
                <w:szCs w:val="16"/>
                <w:vertAlign w:val="superscript"/>
              </w:rPr>
              <w:t>2</w:t>
            </w:r>
          </w:p>
          <w:p w:rsidR="00B902AA" w:rsidRPr="00B902AA" w:rsidRDefault="00B902AA" w:rsidP="00B902AA">
            <w:pPr>
              <w:pStyle w:val="Standardparagraph"/>
              <w:spacing w:before="40" w:after="40" w:line="240" w:lineRule="auto"/>
              <w:ind w:right="0"/>
              <w:jc w:val="center"/>
              <w:rPr>
                <w:b/>
                <w:sz w:val="16"/>
                <w:szCs w:val="16"/>
              </w:rPr>
            </w:pPr>
            <w:r w:rsidRPr="00B902AA">
              <w:rPr>
                <w:b/>
                <w:sz w:val="16"/>
                <w:szCs w:val="16"/>
              </w:rPr>
              <w:t>GIFA</w:t>
            </w:r>
          </w:p>
        </w:tc>
        <w:tc>
          <w:tcPr>
            <w:tcW w:w="992" w:type="dxa"/>
            <w:tcBorders>
              <w:bottom w:val="single" w:sz="4" w:space="0" w:color="auto"/>
            </w:tcBorders>
            <w:shd w:val="clear" w:color="auto" w:fill="92CDDC" w:themeFill="accent5" w:themeFillTint="99"/>
            <w:vAlign w:val="center"/>
          </w:tcPr>
          <w:p w:rsidR="00B902AA" w:rsidRPr="00B902AA" w:rsidRDefault="00B902AA" w:rsidP="00B902AA">
            <w:pPr>
              <w:pStyle w:val="Standardparagraph"/>
              <w:spacing w:before="40" w:after="40" w:line="240" w:lineRule="auto"/>
              <w:ind w:right="0"/>
              <w:jc w:val="center"/>
              <w:rPr>
                <w:b/>
                <w:sz w:val="16"/>
                <w:szCs w:val="16"/>
              </w:rPr>
            </w:pPr>
            <w:r w:rsidRPr="00B902AA">
              <w:rPr>
                <w:b/>
                <w:sz w:val="16"/>
                <w:szCs w:val="16"/>
              </w:rPr>
              <w:t>Unit Quantity</w:t>
            </w:r>
          </w:p>
        </w:tc>
        <w:tc>
          <w:tcPr>
            <w:tcW w:w="567" w:type="dxa"/>
            <w:tcBorders>
              <w:bottom w:val="single" w:sz="4" w:space="0" w:color="auto"/>
            </w:tcBorders>
            <w:shd w:val="clear" w:color="auto" w:fill="92CDDC" w:themeFill="accent5" w:themeFillTint="99"/>
            <w:vAlign w:val="center"/>
          </w:tcPr>
          <w:p w:rsidR="00B902AA" w:rsidRPr="00B902AA" w:rsidRDefault="00B902AA" w:rsidP="00B902AA">
            <w:pPr>
              <w:pStyle w:val="Standardparagraph"/>
              <w:spacing w:before="40" w:after="40" w:line="240" w:lineRule="auto"/>
              <w:ind w:right="0"/>
              <w:jc w:val="center"/>
              <w:rPr>
                <w:b/>
                <w:sz w:val="16"/>
                <w:szCs w:val="16"/>
              </w:rPr>
            </w:pPr>
          </w:p>
        </w:tc>
        <w:tc>
          <w:tcPr>
            <w:tcW w:w="1134" w:type="dxa"/>
            <w:tcBorders>
              <w:bottom w:val="single" w:sz="4" w:space="0" w:color="auto"/>
            </w:tcBorders>
            <w:shd w:val="clear" w:color="auto" w:fill="92CDDC" w:themeFill="accent5" w:themeFillTint="99"/>
            <w:vAlign w:val="center"/>
          </w:tcPr>
          <w:p w:rsidR="00B902AA" w:rsidRPr="00B902AA" w:rsidRDefault="00B902AA" w:rsidP="00B902AA">
            <w:pPr>
              <w:pStyle w:val="Standardparagraph"/>
              <w:spacing w:before="40" w:after="40" w:line="240" w:lineRule="auto"/>
              <w:ind w:right="0"/>
              <w:jc w:val="center"/>
              <w:rPr>
                <w:b/>
                <w:sz w:val="16"/>
                <w:szCs w:val="16"/>
              </w:rPr>
            </w:pPr>
            <w:r w:rsidRPr="00B902AA">
              <w:rPr>
                <w:b/>
                <w:sz w:val="16"/>
                <w:szCs w:val="16"/>
              </w:rPr>
              <w:t>Unit Rate</w:t>
            </w:r>
          </w:p>
        </w:tc>
      </w:tr>
      <w:tr w:rsidR="00B902AA" w:rsidRPr="0034585B" w:rsidTr="006B6EAC">
        <w:tc>
          <w:tcPr>
            <w:tcW w:w="567" w:type="dxa"/>
            <w:shd w:val="clear" w:color="auto" w:fill="B6DDE8" w:themeFill="accent5" w:themeFillTint="66"/>
          </w:tcPr>
          <w:p w:rsidR="00B902AA" w:rsidRPr="0034585B" w:rsidRDefault="00B902AA" w:rsidP="00B902AA">
            <w:pPr>
              <w:pStyle w:val="Standardparagraph"/>
              <w:spacing w:before="40" w:after="40" w:line="240" w:lineRule="auto"/>
              <w:ind w:right="0"/>
              <w:rPr>
                <w:sz w:val="16"/>
                <w:szCs w:val="16"/>
              </w:rPr>
            </w:pPr>
          </w:p>
        </w:tc>
        <w:tc>
          <w:tcPr>
            <w:tcW w:w="4536" w:type="dxa"/>
            <w:shd w:val="clear" w:color="auto" w:fill="B6DDE8" w:themeFill="accent5" w:themeFillTint="66"/>
          </w:tcPr>
          <w:p w:rsidR="00B902AA" w:rsidRPr="0034585B" w:rsidRDefault="00B902AA" w:rsidP="00B902AA">
            <w:pPr>
              <w:pStyle w:val="Standardparagraph"/>
              <w:spacing w:before="40" w:after="40" w:line="240" w:lineRule="auto"/>
              <w:ind w:right="0"/>
              <w:rPr>
                <w:sz w:val="16"/>
                <w:szCs w:val="16"/>
              </w:rPr>
            </w:pPr>
            <w:r>
              <w:rPr>
                <w:sz w:val="16"/>
                <w:szCs w:val="16"/>
              </w:rPr>
              <w:t>BUILDING SUB-TOTAL</w:t>
            </w:r>
          </w:p>
        </w:tc>
        <w:tc>
          <w:tcPr>
            <w:tcW w:w="1276" w:type="dxa"/>
            <w:shd w:val="clear" w:color="auto" w:fill="B6DDE8" w:themeFill="accent5" w:themeFillTint="66"/>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B6DDE8" w:themeFill="accent5" w:themeFillTint="66"/>
          </w:tcPr>
          <w:p w:rsidR="00B902AA" w:rsidRPr="001F6548" w:rsidRDefault="00B902AA" w:rsidP="00013F42">
            <w:pPr>
              <w:pStyle w:val="Standardparagraph"/>
              <w:spacing w:before="40" w:after="40" w:line="240" w:lineRule="auto"/>
              <w:ind w:right="0"/>
              <w:jc w:val="center"/>
              <w:rPr>
                <w:sz w:val="16"/>
                <w:szCs w:val="16"/>
                <w:vertAlign w:val="superscript"/>
              </w:rPr>
            </w:pPr>
          </w:p>
        </w:tc>
        <w:tc>
          <w:tcPr>
            <w:tcW w:w="1134"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8</w:t>
            </w:r>
          </w:p>
        </w:tc>
        <w:tc>
          <w:tcPr>
            <w:tcW w:w="4536"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EXTERNAL WORKS</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8.1</w:t>
            </w:r>
          </w:p>
        </w:tc>
        <w:tc>
          <w:tcPr>
            <w:tcW w:w="4536"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Site Preparation Works</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B902AA" w:rsidRDefault="00B902AA"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8.2</w:t>
            </w:r>
          </w:p>
        </w:tc>
        <w:tc>
          <w:tcPr>
            <w:tcW w:w="4536"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 xml:space="preserve">Roads, Paths, </w:t>
            </w:r>
            <w:proofErr w:type="spellStart"/>
            <w:r>
              <w:rPr>
                <w:sz w:val="16"/>
                <w:szCs w:val="16"/>
              </w:rPr>
              <w:t>Pavings</w:t>
            </w:r>
            <w:proofErr w:type="spellEnd"/>
            <w:r>
              <w:rPr>
                <w:sz w:val="16"/>
                <w:szCs w:val="16"/>
              </w:rPr>
              <w:t xml:space="preserve"> and </w:t>
            </w:r>
            <w:proofErr w:type="spellStart"/>
            <w:r>
              <w:rPr>
                <w:sz w:val="16"/>
                <w:szCs w:val="16"/>
              </w:rPr>
              <w:t>Surfacings</w:t>
            </w:r>
            <w:proofErr w:type="spellEnd"/>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B902AA" w:rsidRDefault="00B902AA"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8.3</w:t>
            </w:r>
          </w:p>
        </w:tc>
        <w:tc>
          <w:tcPr>
            <w:tcW w:w="4536"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Soft Landscaping, Planting and Irrigation Systems</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B902AA" w:rsidRDefault="00B902AA"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8.4</w:t>
            </w:r>
          </w:p>
        </w:tc>
        <w:tc>
          <w:tcPr>
            <w:tcW w:w="4536"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Fencing, Railings and Walls</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B902AA" w:rsidRDefault="00B902AA"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8.5</w:t>
            </w:r>
          </w:p>
        </w:tc>
        <w:tc>
          <w:tcPr>
            <w:tcW w:w="4536"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External Fixtures</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B902AA" w:rsidRDefault="00B902AA"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8.6</w:t>
            </w:r>
          </w:p>
        </w:tc>
        <w:tc>
          <w:tcPr>
            <w:tcW w:w="4536"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External Drainage</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B902AA" w:rsidRDefault="00B902AA"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8.7</w:t>
            </w:r>
          </w:p>
        </w:tc>
        <w:tc>
          <w:tcPr>
            <w:tcW w:w="4536"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External Services</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B902AA" w:rsidRDefault="00B902AA"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tcBorders>
              <w:bottom w:val="single" w:sz="4" w:space="0" w:color="auto"/>
            </w:tcBorders>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8.8</w:t>
            </w:r>
          </w:p>
        </w:tc>
        <w:tc>
          <w:tcPr>
            <w:tcW w:w="4536" w:type="dxa"/>
            <w:tcBorders>
              <w:bottom w:val="single" w:sz="4" w:space="0" w:color="auto"/>
            </w:tcBorders>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Minor Building Works and Ancillary Buildings</w:t>
            </w:r>
          </w:p>
        </w:tc>
        <w:tc>
          <w:tcPr>
            <w:tcW w:w="1276" w:type="dxa"/>
            <w:tcBorders>
              <w:bottom w:val="single" w:sz="4" w:space="0" w:color="auto"/>
            </w:tcBorders>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tcBorders>
              <w:bottom w:val="single" w:sz="4" w:space="0" w:color="auto"/>
            </w:tcBorders>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tcBorders>
              <w:bottom w:val="single" w:sz="4" w:space="0" w:color="auto"/>
            </w:tcBorders>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tcBorders>
              <w:bottom w:val="single" w:sz="4" w:space="0" w:color="auto"/>
            </w:tcBorders>
            <w:shd w:val="clear" w:color="auto" w:fill="auto"/>
          </w:tcPr>
          <w:p w:rsidR="00B902AA" w:rsidRPr="00B902AA" w:rsidRDefault="00B902AA"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Borders>
              <w:bottom w:val="single" w:sz="4" w:space="0" w:color="auto"/>
            </w:tcBorders>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B6DDE8" w:themeFill="accent5" w:themeFillTint="66"/>
          </w:tcPr>
          <w:p w:rsidR="00B902AA" w:rsidRPr="0034585B" w:rsidRDefault="00B902AA" w:rsidP="00B902AA">
            <w:pPr>
              <w:pStyle w:val="Standardparagraph"/>
              <w:spacing w:before="40" w:after="40" w:line="240" w:lineRule="auto"/>
              <w:ind w:right="0"/>
              <w:rPr>
                <w:sz w:val="16"/>
                <w:szCs w:val="16"/>
              </w:rPr>
            </w:pPr>
          </w:p>
        </w:tc>
        <w:tc>
          <w:tcPr>
            <w:tcW w:w="4536" w:type="dxa"/>
            <w:shd w:val="clear" w:color="auto" w:fill="B6DDE8" w:themeFill="accent5" w:themeFillTint="66"/>
            <w:vAlign w:val="center"/>
          </w:tcPr>
          <w:p w:rsidR="00B902AA" w:rsidRPr="0034585B" w:rsidRDefault="00B902AA" w:rsidP="00B902AA">
            <w:pPr>
              <w:pStyle w:val="Standardparagraph"/>
              <w:spacing w:before="40" w:after="40" w:line="240" w:lineRule="auto"/>
              <w:ind w:right="0"/>
              <w:jc w:val="right"/>
              <w:rPr>
                <w:sz w:val="16"/>
                <w:szCs w:val="16"/>
              </w:rPr>
            </w:pPr>
            <w:r>
              <w:rPr>
                <w:sz w:val="16"/>
                <w:szCs w:val="16"/>
              </w:rPr>
              <w:t>Total External Works</w:t>
            </w:r>
          </w:p>
        </w:tc>
        <w:tc>
          <w:tcPr>
            <w:tcW w:w="1276" w:type="dxa"/>
            <w:shd w:val="clear" w:color="auto" w:fill="B6DDE8" w:themeFill="accent5" w:themeFillTint="66"/>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1134"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0</w:t>
            </w:r>
          </w:p>
        </w:tc>
        <w:tc>
          <w:tcPr>
            <w:tcW w:w="4536" w:type="dxa"/>
            <w:shd w:val="clear" w:color="auto" w:fill="auto"/>
          </w:tcPr>
          <w:p w:rsidR="00B902AA" w:rsidRPr="0034585B" w:rsidRDefault="00B902AA" w:rsidP="00B902AA">
            <w:pPr>
              <w:pStyle w:val="Standardparagraph"/>
              <w:spacing w:before="40" w:after="40" w:line="240" w:lineRule="auto"/>
              <w:ind w:right="0"/>
              <w:rPr>
                <w:sz w:val="16"/>
                <w:szCs w:val="16"/>
              </w:rPr>
            </w:pPr>
            <w:r>
              <w:rPr>
                <w:sz w:val="16"/>
                <w:szCs w:val="16"/>
              </w:rPr>
              <w:t>FACILITATING WORKS</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0.1</w:t>
            </w:r>
          </w:p>
        </w:tc>
        <w:tc>
          <w:tcPr>
            <w:tcW w:w="4536"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Toxic/Hazardous/Contaminated Material Treatment</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6B6EAC" w:rsidRDefault="006B6EAC"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6B6EAC" w:rsidRPr="0034585B" w:rsidTr="006B6EAC">
        <w:tc>
          <w:tcPr>
            <w:tcW w:w="567" w:type="dxa"/>
            <w:shd w:val="clear" w:color="auto" w:fill="auto"/>
          </w:tcPr>
          <w:p w:rsidR="006B6EAC" w:rsidRPr="0034585B" w:rsidRDefault="006B6EAC" w:rsidP="00B902AA">
            <w:pPr>
              <w:pStyle w:val="Standardparagraph"/>
              <w:spacing w:before="40" w:after="40" w:line="240" w:lineRule="auto"/>
              <w:ind w:right="0"/>
              <w:rPr>
                <w:sz w:val="16"/>
                <w:szCs w:val="16"/>
              </w:rPr>
            </w:pPr>
            <w:r>
              <w:rPr>
                <w:sz w:val="16"/>
                <w:szCs w:val="16"/>
              </w:rPr>
              <w:t>0.2</w:t>
            </w:r>
          </w:p>
        </w:tc>
        <w:tc>
          <w:tcPr>
            <w:tcW w:w="4536" w:type="dxa"/>
            <w:shd w:val="clear" w:color="auto" w:fill="auto"/>
          </w:tcPr>
          <w:p w:rsidR="006B6EAC" w:rsidRPr="0034585B" w:rsidRDefault="006B6EAC" w:rsidP="00B902AA">
            <w:pPr>
              <w:pStyle w:val="Standardparagraph"/>
              <w:spacing w:before="40" w:after="40" w:line="240" w:lineRule="auto"/>
              <w:ind w:right="0"/>
              <w:rPr>
                <w:sz w:val="16"/>
                <w:szCs w:val="16"/>
              </w:rPr>
            </w:pPr>
            <w:r>
              <w:rPr>
                <w:sz w:val="16"/>
                <w:szCs w:val="16"/>
              </w:rPr>
              <w:t>Major Demolition Works</w:t>
            </w:r>
          </w:p>
        </w:tc>
        <w:tc>
          <w:tcPr>
            <w:tcW w:w="1276" w:type="dxa"/>
            <w:shd w:val="clear" w:color="auto" w:fill="auto"/>
          </w:tcPr>
          <w:p w:rsidR="006B6EAC" w:rsidRPr="0034585B" w:rsidRDefault="006B6EAC" w:rsidP="00013F42">
            <w:pPr>
              <w:pStyle w:val="Standardparagraph"/>
              <w:spacing w:before="40" w:after="40" w:line="240" w:lineRule="auto"/>
              <w:ind w:right="0"/>
              <w:rPr>
                <w:sz w:val="16"/>
                <w:szCs w:val="16"/>
              </w:rPr>
            </w:pPr>
          </w:p>
        </w:tc>
        <w:tc>
          <w:tcPr>
            <w:tcW w:w="1134" w:type="dxa"/>
            <w:shd w:val="clear" w:color="auto" w:fill="auto"/>
          </w:tcPr>
          <w:p w:rsidR="006B6EAC" w:rsidRPr="0034585B" w:rsidRDefault="006B6EAC" w:rsidP="00013F42">
            <w:pPr>
              <w:pStyle w:val="Standardparagraph"/>
              <w:spacing w:before="40" w:after="40" w:line="240" w:lineRule="auto"/>
              <w:ind w:right="0"/>
              <w:jc w:val="center"/>
              <w:rPr>
                <w:sz w:val="16"/>
                <w:szCs w:val="16"/>
              </w:rPr>
            </w:pPr>
          </w:p>
        </w:tc>
        <w:tc>
          <w:tcPr>
            <w:tcW w:w="992" w:type="dxa"/>
            <w:shd w:val="clear" w:color="auto" w:fill="auto"/>
          </w:tcPr>
          <w:p w:rsidR="006B6EAC" w:rsidRPr="0034585B" w:rsidRDefault="006B6EAC" w:rsidP="00013F42">
            <w:pPr>
              <w:pStyle w:val="Standardparagraph"/>
              <w:spacing w:before="40" w:after="40" w:line="240" w:lineRule="auto"/>
              <w:ind w:right="0"/>
              <w:jc w:val="center"/>
              <w:rPr>
                <w:sz w:val="16"/>
                <w:szCs w:val="16"/>
              </w:rPr>
            </w:pPr>
          </w:p>
        </w:tc>
        <w:tc>
          <w:tcPr>
            <w:tcW w:w="567" w:type="dxa"/>
            <w:shd w:val="clear" w:color="auto" w:fill="auto"/>
          </w:tcPr>
          <w:p w:rsidR="006B6EAC" w:rsidRPr="006B6EAC" w:rsidRDefault="006B6EAC"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auto"/>
          </w:tcPr>
          <w:p w:rsidR="006B6EAC" w:rsidRPr="0034585B" w:rsidRDefault="006B6EAC" w:rsidP="00013F42">
            <w:pPr>
              <w:pStyle w:val="Standardparagraph"/>
              <w:spacing w:before="40" w:after="40" w:line="240" w:lineRule="auto"/>
              <w:ind w:right="0"/>
              <w:jc w:val="center"/>
              <w:rPr>
                <w:sz w:val="16"/>
                <w:szCs w:val="16"/>
              </w:rPr>
            </w:pPr>
          </w:p>
        </w:tc>
      </w:tr>
      <w:tr w:rsidR="006B6EAC" w:rsidRPr="0034585B" w:rsidTr="006B6EAC">
        <w:tc>
          <w:tcPr>
            <w:tcW w:w="567" w:type="dxa"/>
            <w:tcBorders>
              <w:bottom w:val="single" w:sz="4" w:space="0" w:color="auto"/>
            </w:tcBorders>
            <w:shd w:val="clear" w:color="auto" w:fill="auto"/>
          </w:tcPr>
          <w:p w:rsidR="006B6EAC" w:rsidRPr="0034585B" w:rsidRDefault="006B6EAC" w:rsidP="00B902AA">
            <w:pPr>
              <w:pStyle w:val="Standardparagraph"/>
              <w:spacing w:before="40" w:after="40" w:line="240" w:lineRule="auto"/>
              <w:ind w:right="0"/>
              <w:rPr>
                <w:sz w:val="16"/>
                <w:szCs w:val="16"/>
              </w:rPr>
            </w:pPr>
            <w:r>
              <w:rPr>
                <w:sz w:val="16"/>
                <w:szCs w:val="16"/>
              </w:rPr>
              <w:t>0.3</w:t>
            </w:r>
          </w:p>
        </w:tc>
        <w:tc>
          <w:tcPr>
            <w:tcW w:w="4536" w:type="dxa"/>
            <w:tcBorders>
              <w:bottom w:val="single" w:sz="4" w:space="0" w:color="auto"/>
            </w:tcBorders>
            <w:shd w:val="clear" w:color="auto" w:fill="auto"/>
          </w:tcPr>
          <w:p w:rsidR="006B6EAC" w:rsidRPr="0034585B" w:rsidRDefault="006B6EAC" w:rsidP="00B902AA">
            <w:pPr>
              <w:pStyle w:val="Standardparagraph"/>
              <w:spacing w:before="40" w:after="40" w:line="240" w:lineRule="auto"/>
              <w:ind w:right="0"/>
              <w:rPr>
                <w:sz w:val="16"/>
                <w:szCs w:val="16"/>
              </w:rPr>
            </w:pPr>
            <w:r>
              <w:rPr>
                <w:sz w:val="16"/>
                <w:szCs w:val="16"/>
              </w:rPr>
              <w:t>Temporary Support to Adjacent Structures</w:t>
            </w:r>
          </w:p>
        </w:tc>
        <w:tc>
          <w:tcPr>
            <w:tcW w:w="1276" w:type="dxa"/>
            <w:tcBorders>
              <w:bottom w:val="single" w:sz="4" w:space="0" w:color="auto"/>
            </w:tcBorders>
            <w:shd w:val="clear" w:color="auto" w:fill="auto"/>
          </w:tcPr>
          <w:p w:rsidR="006B6EAC" w:rsidRPr="0034585B" w:rsidRDefault="006B6EAC" w:rsidP="00013F42">
            <w:pPr>
              <w:pStyle w:val="Standardparagraph"/>
              <w:spacing w:before="40" w:after="40" w:line="240" w:lineRule="auto"/>
              <w:ind w:right="0"/>
              <w:rPr>
                <w:sz w:val="16"/>
                <w:szCs w:val="16"/>
              </w:rPr>
            </w:pPr>
          </w:p>
        </w:tc>
        <w:tc>
          <w:tcPr>
            <w:tcW w:w="1134" w:type="dxa"/>
            <w:tcBorders>
              <w:bottom w:val="single" w:sz="4" w:space="0" w:color="auto"/>
            </w:tcBorders>
            <w:shd w:val="clear" w:color="auto" w:fill="auto"/>
          </w:tcPr>
          <w:p w:rsidR="006B6EAC" w:rsidRPr="0034585B" w:rsidRDefault="006B6EAC" w:rsidP="00013F42">
            <w:pPr>
              <w:pStyle w:val="Standardparagraph"/>
              <w:spacing w:before="40" w:after="40" w:line="240" w:lineRule="auto"/>
              <w:ind w:right="0"/>
              <w:jc w:val="center"/>
              <w:rPr>
                <w:sz w:val="16"/>
                <w:szCs w:val="16"/>
              </w:rPr>
            </w:pPr>
          </w:p>
        </w:tc>
        <w:tc>
          <w:tcPr>
            <w:tcW w:w="992" w:type="dxa"/>
            <w:tcBorders>
              <w:bottom w:val="single" w:sz="4" w:space="0" w:color="auto"/>
            </w:tcBorders>
            <w:shd w:val="clear" w:color="auto" w:fill="auto"/>
          </w:tcPr>
          <w:p w:rsidR="006B6EAC" w:rsidRPr="0034585B" w:rsidRDefault="006B6EAC" w:rsidP="00013F42">
            <w:pPr>
              <w:pStyle w:val="Standardparagraph"/>
              <w:spacing w:before="40" w:after="40" w:line="240" w:lineRule="auto"/>
              <w:ind w:right="0"/>
              <w:jc w:val="center"/>
              <w:rPr>
                <w:sz w:val="16"/>
                <w:szCs w:val="16"/>
              </w:rPr>
            </w:pPr>
          </w:p>
        </w:tc>
        <w:tc>
          <w:tcPr>
            <w:tcW w:w="567" w:type="dxa"/>
            <w:tcBorders>
              <w:bottom w:val="single" w:sz="4" w:space="0" w:color="auto"/>
            </w:tcBorders>
            <w:shd w:val="clear" w:color="auto" w:fill="auto"/>
          </w:tcPr>
          <w:p w:rsidR="006B6EAC" w:rsidRPr="006B6EAC" w:rsidRDefault="006B6EAC"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Borders>
              <w:bottom w:val="single" w:sz="4" w:space="0" w:color="auto"/>
            </w:tcBorders>
            <w:shd w:val="clear" w:color="auto" w:fill="auto"/>
          </w:tcPr>
          <w:p w:rsidR="006B6EAC" w:rsidRPr="0034585B" w:rsidRDefault="006B6EAC" w:rsidP="00013F42">
            <w:pPr>
              <w:pStyle w:val="Standardparagraph"/>
              <w:spacing w:before="40" w:after="40" w:line="240" w:lineRule="auto"/>
              <w:ind w:right="0"/>
              <w:jc w:val="center"/>
              <w:rPr>
                <w:sz w:val="16"/>
                <w:szCs w:val="16"/>
              </w:rPr>
            </w:pPr>
          </w:p>
        </w:tc>
      </w:tr>
      <w:tr w:rsidR="006B6EAC" w:rsidRPr="0034585B" w:rsidTr="006B6EAC">
        <w:tc>
          <w:tcPr>
            <w:tcW w:w="567" w:type="dxa"/>
            <w:tcBorders>
              <w:bottom w:val="single" w:sz="4" w:space="0" w:color="auto"/>
            </w:tcBorders>
            <w:shd w:val="clear" w:color="auto" w:fill="auto"/>
          </w:tcPr>
          <w:p w:rsidR="006B6EAC" w:rsidRPr="0034585B" w:rsidRDefault="006B6EAC" w:rsidP="00B902AA">
            <w:pPr>
              <w:pStyle w:val="Standardparagraph"/>
              <w:spacing w:before="40" w:after="40" w:line="240" w:lineRule="auto"/>
              <w:ind w:right="0"/>
              <w:rPr>
                <w:sz w:val="16"/>
                <w:szCs w:val="16"/>
              </w:rPr>
            </w:pPr>
            <w:r>
              <w:rPr>
                <w:sz w:val="16"/>
                <w:szCs w:val="16"/>
              </w:rPr>
              <w:t>0.4</w:t>
            </w:r>
          </w:p>
        </w:tc>
        <w:tc>
          <w:tcPr>
            <w:tcW w:w="4536" w:type="dxa"/>
            <w:tcBorders>
              <w:bottom w:val="single" w:sz="4" w:space="0" w:color="auto"/>
            </w:tcBorders>
            <w:shd w:val="clear" w:color="auto" w:fill="auto"/>
          </w:tcPr>
          <w:p w:rsidR="006B6EAC" w:rsidRPr="0034585B" w:rsidRDefault="006B6EAC" w:rsidP="006B6EAC">
            <w:pPr>
              <w:pStyle w:val="Standardparagraph"/>
              <w:spacing w:before="40" w:after="40" w:line="240" w:lineRule="auto"/>
              <w:ind w:right="0"/>
              <w:rPr>
                <w:sz w:val="16"/>
                <w:szCs w:val="16"/>
              </w:rPr>
            </w:pPr>
            <w:r>
              <w:rPr>
                <w:sz w:val="16"/>
                <w:szCs w:val="16"/>
              </w:rPr>
              <w:t>Specialist Ground Works</w:t>
            </w:r>
          </w:p>
        </w:tc>
        <w:tc>
          <w:tcPr>
            <w:tcW w:w="1276" w:type="dxa"/>
            <w:tcBorders>
              <w:bottom w:val="single" w:sz="4" w:space="0" w:color="auto"/>
            </w:tcBorders>
            <w:shd w:val="clear" w:color="auto" w:fill="auto"/>
          </w:tcPr>
          <w:p w:rsidR="006B6EAC" w:rsidRPr="0034585B" w:rsidRDefault="006B6EAC" w:rsidP="00013F42">
            <w:pPr>
              <w:pStyle w:val="Standardparagraph"/>
              <w:spacing w:before="40" w:after="40" w:line="240" w:lineRule="auto"/>
              <w:ind w:right="0"/>
              <w:rPr>
                <w:sz w:val="16"/>
                <w:szCs w:val="16"/>
              </w:rPr>
            </w:pPr>
          </w:p>
        </w:tc>
        <w:tc>
          <w:tcPr>
            <w:tcW w:w="1134" w:type="dxa"/>
            <w:tcBorders>
              <w:bottom w:val="single" w:sz="4" w:space="0" w:color="auto"/>
            </w:tcBorders>
            <w:shd w:val="clear" w:color="auto" w:fill="auto"/>
          </w:tcPr>
          <w:p w:rsidR="006B6EAC" w:rsidRPr="0034585B" w:rsidRDefault="006B6EAC" w:rsidP="00013F42">
            <w:pPr>
              <w:pStyle w:val="Standardparagraph"/>
              <w:spacing w:before="40" w:after="40" w:line="240" w:lineRule="auto"/>
              <w:ind w:right="0"/>
              <w:jc w:val="center"/>
              <w:rPr>
                <w:sz w:val="16"/>
                <w:szCs w:val="16"/>
              </w:rPr>
            </w:pPr>
          </w:p>
        </w:tc>
        <w:tc>
          <w:tcPr>
            <w:tcW w:w="992" w:type="dxa"/>
            <w:tcBorders>
              <w:bottom w:val="single" w:sz="4" w:space="0" w:color="auto"/>
            </w:tcBorders>
            <w:shd w:val="clear" w:color="auto" w:fill="auto"/>
          </w:tcPr>
          <w:p w:rsidR="006B6EAC" w:rsidRPr="0034585B" w:rsidRDefault="006B6EAC" w:rsidP="00013F42">
            <w:pPr>
              <w:pStyle w:val="Standardparagraph"/>
              <w:spacing w:before="40" w:after="40" w:line="240" w:lineRule="auto"/>
              <w:ind w:right="0"/>
              <w:jc w:val="center"/>
              <w:rPr>
                <w:sz w:val="16"/>
                <w:szCs w:val="16"/>
              </w:rPr>
            </w:pPr>
          </w:p>
        </w:tc>
        <w:tc>
          <w:tcPr>
            <w:tcW w:w="567" w:type="dxa"/>
            <w:tcBorders>
              <w:bottom w:val="single" w:sz="4" w:space="0" w:color="auto"/>
            </w:tcBorders>
            <w:shd w:val="clear" w:color="auto" w:fill="auto"/>
          </w:tcPr>
          <w:p w:rsidR="006B6EAC" w:rsidRPr="006B6EAC" w:rsidRDefault="006B6EAC"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tcBorders>
              <w:bottom w:val="single" w:sz="4" w:space="0" w:color="auto"/>
            </w:tcBorders>
            <w:shd w:val="clear" w:color="auto" w:fill="auto"/>
          </w:tcPr>
          <w:p w:rsidR="006B6EAC" w:rsidRPr="0034585B" w:rsidRDefault="006B6EAC" w:rsidP="00013F42">
            <w:pPr>
              <w:pStyle w:val="Standardparagraph"/>
              <w:spacing w:before="40" w:after="40" w:line="240" w:lineRule="auto"/>
              <w:ind w:right="0"/>
              <w:jc w:val="center"/>
              <w:rPr>
                <w:sz w:val="16"/>
                <w:szCs w:val="16"/>
              </w:rPr>
            </w:pPr>
          </w:p>
        </w:tc>
      </w:tr>
      <w:tr w:rsidR="006B6EAC" w:rsidRPr="0034585B" w:rsidTr="006B6EAC">
        <w:tc>
          <w:tcPr>
            <w:tcW w:w="567" w:type="dxa"/>
            <w:shd w:val="clear" w:color="auto" w:fill="auto"/>
          </w:tcPr>
          <w:p w:rsidR="006B6EAC" w:rsidRPr="0034585B" w:rsidRDefault="006B6EAC" w:rsidP="00B902AA">
            <w:pPr>
              <w:pStyle w:val="Standardparagraph"/>
              <w:spacing w:before="40" w:after="40" w:line="240" w:lineRule="auto"/>
              <w:ind w:right="0"/>
              <w:rPr>
                <w:sz w:val="16"/>
                <w:szCs w:val="16"/>
              </w:rPr>
            </w:pPr>
            <w:r>
              <w:rPr>
                <w:sz w:val="16"/>
                <w:szCs w:val="16"/>
              </w:rPr>
              <w:t>0.5</w:t>
            </w:r>
          </w:p>
        </w:tc>
        <w:tc>
          <w:tcPr>
            <w:tcW w:w="4536" w:type="dxa"/>
            <w:shd w:val="clear" w:color="auto" w:fill="auto"/>
          </w:tcPr>
          <w:p w:rsidR="006B6EAC" w:rsidRPr="0034585B" w:rsidRDefault="006B6EAC" w:rsidP="00B902AA">
            <w:pPr>
              <w:pStyle w:val="Standardparagraph"/>
              <w:spacing w:before="40" w:after="40" w:line="240" w:lineRule="auto"/>
              <w:ind w:right="0"/>
              <w:rPr>
                <w:sz w:val="16"/>
                <w:szCs w:val="16"/>
              </w:rPr>
            </w:pPr>
            <w:r>
              <w:rPr>
                <w:sz w:val="16"/>
                <w:szCs w:val="16"/>
              </w:rPr>
              <w:t>Temporary Diversion Works</w:t>
            </w:r>
          </w:p>
        </w:tc>
        <w:tc>
          <w:tcPr>
            <w:tcW w:w="1276" w:type="dxa"/>
            <w:shd w:val="clear" w:color="auto" w:fill="auto"/>
          </w:tcPr>
          <w:p w:rsidR="006B6EAC" w:rsidRPr="0034585B" w:rsidRDefault="006B6EAC" w:rsidP="00013F42">
            <w:pPr>
              <w:pStyle w:val="Standardparagraph"/>
              <w:spacing w:before="40" w:after="40" w:line="240" w:lineRule="auto"/>
              <w:ind w:right="0"/>
              <w:rPr>
                <w:sz w:val="16"/>
                <w:szCs w:val="16"/>
              </w:rPr>
            </w:pPr>
          </w:p>
        </w:tc>
        <w:tc>
          <w:tcPr>
            <w:tcW w:w="1134" w:type="dxa"/>
            <w:shd w:val="clear" w:color="auto" w:fill="auto"/>
          </w:tcPr>
          <w:p w:rsidR="006B6EAC" w:rsidRPr="0034585B" w:rsidRDefault="006B6EAC" w:rsidP="00013F42">
            <w:pPr>
              <w:pStyle w:val="Standardparagraph"/>
              <w:spacing w:before="40" w:after="40" w:line="240" w:lineRule="auto"/>
              <w:ind w:right="0"/>
              <w:jc w:val="center"/>
              <w:rPr>
                <w:sz w:val="16"/>
                <w:szCs w:val="16"/>
              </w:rPr>
            </w:pPr>
          </w:p>
        </w:tc>
        <w:tc>
          <w:tcPr>
            <w:tcW w:w="992" w:type="dxa"/>
            <w:shd w:val="clear" w:color="auto" w:fill="auto"/>
          </w:tcPr>
          <w:p w:rsidR="006B6EAC" w:rsidRPr="0034585B" w:rsidRDefault="006B6EAC" w:rsidP="00013F42">
            <w:pPr>
              <w:pStyle w:val="Standardparagraph"/>
              <w:spacing w:before="40" w:after="40" w:line="240" w:lineRule="auto"/>
              <w:ind w:right="0"/>
              <w:jc w:val="center"/>
              <w:rPr>
                <w:sz w:val="16"/>
                <w:szCs w:val="16"/>
              </w:rPr>
            </w:pPr>
          </w:p>
        </w:tc>
        <w:tc>
          <w:tcPr>
            <w:tcW w:w="567" w:type="dxa"/>
            <w:shd w:val="clear" w:color="auto" w:fill="auto"/>
          </w:tcPr>
          <w:p w:rsidR="006B6EAC" w:rsidRPr="006B6EAC" w:rsidRDefault="006B6EAC"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auto"/>
          </w:tcPr>
          <w:p w:rsidR="006B6EAC" w:rsidRPr="0034585B" w:rsidRDefault="006B6EAC" w:rsidP="00013F42">
            <w:pPr>
              <w:pStyle w:val="Standardparagraph"/>
              <w:spacing w:before="40" w:after="40" w:line="240" w:lineRule="auto"/>
              <w:ind w:right="0"/>
              <w:jc w:val="center"/>
              <w:rPr>
                <w:sz w:val="16"/>
                <w:szCs w:val="16"/>
              </w:rPr>
            </w:pPr>
          </w:p>
        </w:tc>
      </w:tr>
      <w:tr w:rsidR="006B6EAC" w:rsidRPr="0034585B" w:rsidTr="006B6EAC">
        <w:tc>
          <w:tcPr>
            <w:tcW w:w="567" w:type="dxa"/>
            <w:shd w:val="clear" w:color="auto" w:fill="auto"/>
          </w:tcPr>
          <w:p w:rsidR="006B6EAC" w:rsidRPr="0034585B" w:rsidRDefault="006B6EAC" w:rsidP="00B902AA">
            <w:pPr>
              <w:pStyle w:val="Standardparagraph"/>
              <w:spacing w:before="40" w:after="40" w:line="240" w:lineRule="auto"/>
              <w:ind w:right="0"/>
              <w:rPr>
                <w:sz w:val="16"/>
                <w:szCs w:val="16"/>
              </w:rPr>
            </w:pPr>
            <w:r>
              <w:rPr>
                <w:sz w:val="16"/>
                <w:szCs w:val="16"/>
              </w:rPr>
              <w:t>0.6</w:t>
            </w:r>
          </w:p>
        </w:tc>
        <w:tc>
          <w:tcPr>
            <w:tcW w:w="4536" w:type="dxa"/>
            <w:shd w:val="clear" w:color="auto" w:fill="auto"/>
          </w:tcPr>
          <w:p w:rsidR="006B6EAC" w:rsidRPr="0034585B" w:rsidRDefault="006B6EAC" w:rsidP="00B902AA">
            <w:pPr>
              <w:pStyle w:val="Standardparagraph"/>
              <w:spacing w:before="40" w:after="40" w:line="240" w:lineRule="auto"/>
              <w:ind w:right="0"/>
              <w:rPr>
                <w:sz w:val="16"/>
                <w:szCs w:val="16"/>
              </w:rPr>
            </w:pPr>
            <w:r>
              <w:rPr>
                <w:sz w:val="16"/>
                <w:szCs w:val="16"/>
              </w:rPr>
              <w:t>Extraordinary Site Investigation</w:t>
            </w:r>
          </w:p>
        </w:tc>
        <w:tc>
          <w:tcPr>
            <w:tcW w:w="1276" w:type="dxa"/>
            <w:shd w:val="clear" w:color="auto" w:fill="auto"/>
          </w:tcPr>
          <w:p w:rsidR="006B6EAC" w:rsidRPr="0034585B" w:rsidRDefault="006B6EAC" w:rsidP="00013F42">
            <w:pPr>
              <w:pStyle w:val="Standardparagraph"/>
              <w:spacing w:before="40" w:after="40" w:line="240" w:lineRule="auto"/>
              <w:ind w:right="0"/>
              <w:rPr>
                <w:sz w:val="16"/>
                <w:szCs w:val="16"/>
              </w:rPr>
            </w:pPr>
          </w:p>
        </w:tc>
        <w:tc>
          <w:tcPr>
            <w:tcW w:w="1134" w:type="dxa"/>
            <w:shd w:val="clear" w:color="auto" w:fill="auto"/>
          </w:tcPr>
          <w:p w:rsidR="006B6EAC" w:rsidRPr="0034585B" w:rsidRDefault="006B6EAC" w:rsidP="00013F42">
            <w:pPr>
              <w:pStyle w:val="Standardparagraph"/>
              <w:spacing w:before="40" w:after="40" w:line="240" w:lineRule="auto"/>
              <w:ind w:right="0"/>
              <w:jc w:val="center"/>
              <w:rPr>
                <w:sz w:val="16"/>
                <w:szCs w:val="16"/>
              </w:rPr>
            </w:pPr>
          </w:p>
        </w:tc>
        <w:tc>
          <w:tcPr>
            <w:tcW w:w="992" w:type="dxa"/>
            <w:shd w:val="clear" w:color="auto" w:fill="auto"/>
          </w:tcPr>
          <w:p w:rsidR="006B6EAC" w:rsidRPr="0034585B" w:rsidRDefault="006B6EAC" w:rsidP="00013F42">
            <w:pPr>
              <w:pStyle w:val="Standardparagraph"/>
              <w:spacing w:before="40" w:after="40" w:line="240" w:lineRule="auto"/>
              <w:ind w:right="0"/>
              <w:jc w:val="center"/>
              <w:rPr>
                <w:sz w:val="16"/>
                <w:szCs w:val="16"/>
              </w:rPr>
            </w:pPr>
          </w:p>
        </w:tc>
        <w:tc>
          <w:tcPr>
            <w:tcW w:w="567" w:type="dxa"/>
            <w:shd w:val="clear" w:color="auto" w:fill="auto"/>
          </w:tcPr>
          <w:p w:rsidR="006B6EAC" w:rsidRPr="006B6EAC" w:rsidRDefault="006B6EAC" w:rsidP="00013F42">
            <w:pPr>
              <w:pStyle w:val="Standardparagraph"/>
              <w:spacing w:before="40" w:after="40" w:line="240" w:lineRule="auto"/>
              <w:ind w:right="0"/>
              <w:jc w:val="center"/>
              <w:rPr>
                <w:sz w:val="16"/>
                <w:szCs w:val="16"/>
                <w:vertAlign w:val="superscript"/>
              </w:rPr>
            </w:pPr>
            <w:r>
              <w:rPr>
                <w:sz w:val="16"/>
                <w:szCs w:val="16"/>
              </w:rPr>
              <w:t>m</w:t>
            </w:r>
            <w:r>
              <w:rPr>
                <w:sz w:val="16"/>
                <w:szCs w:val="16"/>
                <w:vertAlign w:val="superscript"/>
              </w:rPr>
              <w:t>2</w:t>
            </w:r>
          </w:p>
        </w:tc>
        <w:tc>
          <w:tcPr>
            <w:tcW w:w="1134" w:type="dxa"/>
            <w:shd w:val="clear" w:color="auto" w:fill="auto"/>
          </w:tcPr>
          <w:p w:rsidR="006B6EAC" w:rsidRPr="0034585B" w:rsidRDefault="006B6EAC"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B6DDE8" w:themeFill="accent5" w:themeFillTint="66"/>
          </w:tcPr>
          <w:p w:rsidR="00B902AA" w:rsidRPr="0034585B" w:rsidRDefault="00B902AA" w:rsidP="00B902AA">
            <w:pPr>
              <w:pStyle w:val="Standardparagraph"/>
              <w:spacing w:before="40" w:after="40" w:line="240" w:lineRule="auto"/>
              <w:ind w:right="0"/>
              <w:rPr>
                <w:sz w:val="16"/>
                <w:szCs w:val="16"/>
              </w:rPr>
            </w:pPr>
          </w:p>
        </w:tc>
        <w:tc>
          <w:tcPr>
            <w:tcW w:w="4536" w:type="dxa"/>
            <w:shd w:val="clear" w:color="auto" w:fill="B6DDE8" w:themeFill="accent5" w:themeFillTint="66"/>
          </w:tcPr>
          <w:p w:rsidR="00B902AA" w:rsidRPr="0034585B" w:rsidRDefault="006B6EAC" w:rsidP="006B6EAC">
            <w:pPr>
              <w:pStyle w:val="Standardparagraph"/>
              <w:spacing w:before="40" w:after="40" w:line="240" w:lineRule="auto"/>
              <w:ind w:right="0"/>
              <w:jc w:val="right"/>
              <w:rPr>
                <w:sz w:val="16"/>
                <w:szCs w:val="16"/>
              </w:rPr>
            </w:pPr>
            <w:r>
              <w:rPr>
                <w:sz w:val="16"/>
                <w:szCs w:val="16"/>
              </w:rPr>
              <w:t>Total Facilitating Work</w:t>
            </w:r>
          </w:p>
        </w:tc>
        <w:tc>
          <w:tcPr>
            <w:tcW w:w="1276" w:type="dxa"/>
            <w:shd w:val="clear" w:color="auto" w:fill="B6DDE8" w:themeFill="accent5" w:themeFillTint="66"/>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1134"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9</w:t>
            </w:r>
          </w:p>
        </w:tc>
        <w:tc>
          <w:tcPr>
            <w:tcW w:w="4536"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MAIN CONTRACTOR’S PRELIMINARIES</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10</w:t>
            </w:r>
          </w:p>
        </w:tc>
        <w:tc>
          <w:tcPr>
            <w:tcW w:w="4536"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MAIN CONTRACTOR’S OVERHEAD &amp; PROFIT</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B6DDE8" w:themeFill="accent5" w:themeFillTint="66"/>
          </w:tcPr>
          <w:p w:rsidR="00B902AA" w:rsidRPr="0034585B" w:rsidRDefault="00B902AA" w:rsidP="00B902AA">
            <w:pPr>
              <w:pStyle w:val="Standardparagraph"/>
              <w:spacing w:before="40" w:after="40" w:line="240" w:lineRule="auto"/>
              <w:ind w:right="0"/>
              <w:rPr>
                <w:sz w:val="16"/>
                <w:szCs w:val="16"/>
              </w:rPr>
            </w:pPr>
          </w:p>
        </w:tc>
        <w:tc>
          <w:tcPr>
            <w:tcW w:w="4536" w:type="dxa"/>
            <w:shd w:val="clear" w:color="auto" w:fill="B6DDE8" w:themeFill="accent5" w:themeFillTint="66"/>
          </w:tcPr>
          <w:p w:rsidR="00013F42" w:rsidRDefault="00013F42" w:rsidP="00B902AA">
            <w:pPr>
              <w:pStyle w:val="Standardparagraph"/>
              <w:spacing w:before="40" w:after="40" w:line="240" w:lineRule="auto"/>
              <w:ind w:right="0"/>
              <w:rPr>
                <w:sz w:val="16"/>
                <w:szCs w:val="16"/>
              </w:rPr>
            </w:pPr>
            <w:r>
              <w:rPr>
                <w:sz w:val="16"/>
                <w:szCs w:val="16"/>
              </w:rPr>
              <w:t>TOTAL CONSTRUCTION / INVESTMENT COST*</w:t>
            </w:r>
            <w:r w:rsidR="006B6EAC">
              <w:rPr>
                <w:sz w:val="16"/>
                <w:szCs w:val="16"/>
              </w:rPr>
              <w:t xml:space="preserve"> </w:t>
            </w:r>
          </w:p>
          <w:p w:rsidR="006B6EAC" w:rsidRPr="0034585B" w:rsidRDefault="006B6EAC" w:rsidP="00B902AA">
            <w:pPr>
              <w:pStyle w:val="Standardparagraph"/>
              <w:spacing w:before="40" w:after="40" w:line="240" w:lineRule="auto"/>
              <w:ind w:right="0"/>
              <w:rPr>
                <w:sz w:val="16"/>
                <w:szCs w:val="16"/>
              </w:rPr>
            </w:pPr>
            <w:r>
              <w:rPr>
                <w:sz w:val="16"/>
                <w:szCs w:val="16"/>
              </w:rPr>
              <w:t>(excluding contingencies and fees)</w:t>
            </w:r>
          </w:p>
        </w:tc>
        <w:tc>
          <w:tcPr>
            <w:tcW w:w="1276" w:type="dxa"/>
            <w:shd w:val="clear" w:color="auto" w:fill="B6DDE8" w:themeFill="accent5" w:themeFillTint="66"/>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1134"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11</w:t>
            </w:r>
          </w:p>
        </w:tc>
        <w:tc>
          <w:tcPr>
            <w:tcW w:w="4536"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PROJECT / DESIGN TEAM FEES</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12</w:t>
            </w:r>
          </w:p>
        </w:tc>
        <w:tc>
          <w:tcPr>
            <w:tcW w:w="4536"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OTHER DEVELOPMENT / PROJECT COSTS</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auto"/>
          </w:tcPr>
          <w:p w:rsidR="00B902AA" w:rsidRPr="0034585B" w:rsidRDefault="006B6EAC" w:rsidP="00B902AA">
            <w:pPr>
              <w:pStyle w:val="Standardparagraph"/>
              <w:spacing w:before="40" w:after="40" w:line="240" w:lineRule="auto"/>
              <w:ind w:right="0"/>
              <w:rPr>
                <w:sz w:val="16"/>
                <w:szCs w:val="16"/>
              </w:rPr>
            </w:pPr>
            <w:r>
              <w:rPr>
                <w:sz w:val="16"/>
                <w:szCs w:val="16"/>
              </w:rPr>
              <w:t>13</w:t>
            </w:r>
          </w:p>
        </w:tc>
        <w:tc>
          <w:tcPr>
            <w:tcW w:w="4536" w:type="dxa"/>
            <w:shd w:val="clear" w:color="auto" w:fill="auto"/>
          </w:tcPr>
          <w:p w:rsidR="00B902AA" w:rsidRPr="0034585B" w:rsidRDefault="00013F42" w:rsidP="00013F42">
            <w:pPr>
              <w:pStyle w:val="Standardparagraph"/>
              <w:spacing w:before="40" w:after="40" w:line="240" w:lineRule="auto"/>
              <w:ind w:right="0"/>
              <w:rPr>
                <w:sz w:val="16"/>
                <w:szCs w:val="16"/>
              </w:rPr>
            </w:pPr>
            <w:r>
              <w:rPr>
                <w:sz w:val="16"/>
                <w:szCs w:val="16"/>
              </w:rPr>
              <w:t>QUANTIFIED CONSTRUCTION RISK</w:t>
            </w:r>
          </w:p>
        </w:tc>
        <w:tc>
          <w:tcPr>
            <w:tcW w:w="1276" w:type="dxa"/>
            <w:shd w:val="clear" w:color="auto" w:fill="auto"/>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c>
          <w:tcPr>
            <w:tcW w:w="1134" w:type="dxa"/>
            <w:shd w:val="clear" w:color="auto" w:fill="auto"/>
          </w:tcPr>
          <w:p w:rsidR="00B902AA" w:rsidRPr="0034585B" w:rsidRDefault="00B902AA" w:rsidP="00013F42">
            <w:pPr>
              <w:pStyle w:val="Standardparagraph"/>
              <w:spacing w:before="40" w:after="40" w:line="240" w:lineRule="auto"/>
              <w:ind w:right="0"/>
              <w:jc w:val="center"/>
              <w:rPr>
                <w:sz w:val="16"/>
                <w:szCs w:val="16"/>
              </w:rPr>
            </w:pPr>
          </w:p>
        </w:tc>
      </w:tr>
      <w:tr w:rsidR="00B902AA" w:rsidRPr="0034585B" w:rsidTr="006B6EAC">
        <w:tc>
          <w:tcPr>
            <w:tcW w:w="567" w:type="dxa"/>
            <w:shd w:val="clear" w:color="auto" w:fill="B6DDE8" w:themeFill="accent5" w:themeFillTint="66"/>
          </w:tcPr>
          <w:p w:rsidR="00B902AA" w:rsidRPr="0034585B" w:rsidRDefault="00B902AA" w:rsidP="00B902AA">
            <w:pPr>
              <w:pStyle w:val="Standardparagraph"/>
              <w:spacing w:before="40" w:after="40" w:line="240" w:lineRule="auto"/>
              <w:ind w:right="0"/>
              <w:rPr>
                <w:sz w:val="16"/>
                <w:szCs w:val="16"/>
              </w:rPr>
            </w:pPr>
          </w:p>
        </w:tc>
        <w:tc>
          <w:tcPr>
            <w:tcW w:w="4536" w:type="dxa"/>
            <w:shd w:val="clear" w:color="auto" w:fill="B6DDE8" w:themeFill="accent5" w:themeFillTint="66"/>
          </w:tcPr>
          <w:p w:rsidR="00B902AA" w:rsidRPr="0034585B" w:rsidRDefault="006B6EAC" w:rsidP="00B902AA">
            <w:pPr>
              <w:pStyle w:val="Standardparagraph"/>
              <w:spacing w:before="40" w:after="40" w:line="240" w:lineRule="auto"/>
              <w:ind w:right="0"/>
              <w:rPr>
                <w:sz w:val="16"/>
                <w:szCs w:val="16"/>
              </w:rPr>
            </w:pPr>
            <w:r>
              <w:rPr>
                <w:sz w:val="16"/>
                <w:szCs w:val="16"/>
              </w:rPr>
              <w:t>TOTAL CONTRACT / PROJECT COST</w:t>
            </w:r>
          </w:p>
        </w:tc>
        <w:tc>
          <w:tcPr>
            <w:tcW w:w="1276" w:type="dxa"/>
            <w:shd w:val="clear" w:color="auto" w:fill="B6DDE8" w:themeFill="accent5" w:themeFillTint="66"/>
          </w:tcPr>
          <w:p w:rsidR="00B902AA" w:rsidRPr="0034585B" w:rsidRDefault="00B902AA" w:rsidP="00013F42">
            <w:pPr>
              <w:pStyle w:val="Standardparagraph"/>
              <w:spacing w:before="40" w:after="40" w:line="240" w:lineRule="auto"/>
              <w:ind w:right="0"/>
              <w:rPr>
                <w:sz w:val="16"/>
                <w:szCs w:val="16"/>
              </w:rPr>
            </w:pPr>
          </w:p>
        </w:tc>
        <w:tc>
          <w:tcPr>
            <w:tcW w:w="1134"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992"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567"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c>
          <w:tcPr>
            <w:tcW w:w="1134" w:type="dxa"/>
            <w:shd w:val="clear" w:color="auto" w:fill="B6DDE8" w:themeFill="accent5" w:themeFillTint="66"/>
          </w:tcPr>
          <w:p w:rsidR="00B902AA" w:rsidRPr="0034585B" w:rsidRDefault="00B902AA" w:rsidP="00013F42">
            <w:pPr>
              <w:pStyle w:val="Standardparagraph"/>
              <w:spacing w:before="40" w:after="40" w:line="240" w:lineRule="auto"/>
              <w:ind w:right="0"/>
              <w:jc w:val="center"/>
              <w:rPr>
                <w:sz w:val="16"/>
                <w:szCs w:val="16"/>
              </w:rPr>
            </w:pPr>
          </w:p>
        </w:tc>
      </w:tr>
    </w:tbl>
    <w:p w:rsidR="00B902AA" w:rsidRDefault="00B902AA" w:rsidP="00013F42">
      <w:pPr>
        <w:pStyle w:val="NoSpacing"/>
      </w:pPr>
    </w:p>
    <w:p w:rsidR="00013F42" w:rsidRDefault="00013F42" w:rsidP="00013F42">
      <w:pPr>
        <w:pStyle w:val="Standardparagraph"/>
      </w:pPr>
      <w:r w:rsidRPr="00013F42">
        <w:t>*</w:t>
      </w:r>
      <w:r>
        <w:t xml:space="preserve"> Total Construction / Investment Co</w:t>
      </w:r>
      <w:r w:rsidR="00E04955">
        <w:t>st to be included in the Capital</w:t>
      </w:r>
      <w:r>
        <w:t xml:space="preserve"> Cost Monitoring Form</w:t>
      </w:r>
      <w:r w:rsidR="00E04955">
        <w:t>.</w:t>
      </w:r>
    </w:p>
    <w:p w:rsidR="00C56E3D" w:rsidRDefault="00C56E3D" w:rsidP="00C56E3D">
      <w:pPr>
        <w:pStyle w:val="AppendixTitle"/>
        <w:jc w:val="center"/>
      </w:pPr>
      <w:bookmarkStart w:id="1" w:name="_GoBack"/>
      <w:bookmarkEnd w:id="1"/>
    </w:p>
    <w:p w:rsidR="0002066C" w:rsidRDefault="0002066C" w:rsidP="00C56E3D">
      <w:pPr>
        <w:pStyle w:val="AppendixTitle"/>
        <w:jc w:val="center"/>
        <w:sectPr w:rsidR="0002066C" w:rsidSect="00B94BED">
          <w:footerReference w:type="default" r:id="rId22"/>
          <w:pgSz w:w="11906" w:h="16838"/>
          <w:pgMar w:top="1440" w:right="1440" w:bottom="1440" w:left="1440" w:header="708" w:footer="708" w:gutter="0"/>
          <w:pgNumType w:start="1"/>
          <w:cols w:space="708"/>
          <w:docGrid w:linePitch="360"/>
        </w:sectPr>
      </w:pPr>
    </w:p>
    <w:p w:rsidR="00C56E3D" w:rsidRDefault="00586FC2" w:rsidP="00C56E3D">
      <w:pPr>
        <w:pStyle w:val="AppendixTitle"/>
        <w:jc w:val="center"/>
      </w:pPr>
      <w:r>
        <w:lastRenderedPageBreak/>
        <w:t>Appendix C</w:t>
      </w:r>
      <w:r w:rsidR="00C56E3D">
        <w:t>:</w:t>
      </w:r>
    </w:p>
    <w:p w:rsidR="00C56E3D" w:rsidRDefault="00946047" w:rsidP="00C56E3D">
      <w:pPr>
        <w:pStyle w:val="AppendixTitle"/>
        <w:jc w:val="center"/>
      </w:pPr>
      <w:r>
        <w:t>Programme</w:t>
      </w:r>
      <w:r w:rsidR="00FA0B00">
        <w:t xml:space="preserve"> Monitoring Form</w:t>
      </w:r>
    </w:p>
    <w:p w:rsidR="00C56E3D" w:rsidRDefault="00C56E3D" w:rsidP="004B6392">
      <w:pPr>
        <w:pStyle w:val="Standardparagraph"/>
      </w:pPr>
    </w:p>
    <w:p w:rsidR="00C56E3D" w:rsidRDefault="00C56E3D">
      <w:pPr>
        <w:rPr>
          <w:rFonts w:ascii="Arial" w:eastAsia="Times New Roman" w:hAnsi="Arial" w:cs="Times New Roman"/>
          <w:sz w:val="24"/>
          <w:szCs w:val="20"/>
        </w:rPr>
      </w:pPr>
      <w:r>
        <w:br w:type="page"/>
      </w:r>
    </w:p>
    <w:p w:rsidR="00C56E3D" w:rsidRDefault="00946047" w:rsidP="00C56E3D">
      <w:pPr>
        <w:pStyle w:val="Standardparagraphheading"/>
      </w:pPr>
      <w:r>
        <w:lastRenderedPageBreak/>
        <w:t>Programme</w:t>
      </w:r>
      <w:r w:rsidR="00C56E3D">
        <w:t xml:space="preserve"> Monitoring Form:</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936"/>
        <w:gridCol w:w="1326"/>
        <w:gridCol w:w="1327"/>
        <w:gridCol w:w="1326"/>
        <w:gridCol w:w="1327"/>
      </w:tblGrid>
      <w:tr w:rsidR="00C56E3D" w:rsidRPr="0082597E" w:rsidTr="00C56E3D">
        <w:tc>
          <w:tcPr>
            <w:tcW w:w="3936" w:type="dxa"/>
            <w:shd w:val="clear" w:color="auto" w:fill="31849B" w:themeFill="accent5" w:themeFillShade="BF"/>
          </w:tcPr>
          <w:p w:rsidR="00C56E3D" w:rsidRPr="0082597E" w:rsidRDefault="00C56E3D" w:rsidP="00946047">
            <w:pPr>
              <w:pStyle w:val="Standardparatable"/>
              <w:ind w:right="0"/>
              <w:jc w:val="right"/>
              <w:rPr>
                <w:b/>
                <w:color w:val="FFFFFF" w:themeColor="background1"/>
                <w:sz w:val="20"/>
                <w:szCs w:val="20"/>
              </w:rPr>
            </w:pPr>
            <w:r w:rsidRPr="0082597E">
              <w:rPr>
                <w:b/>
                <w:color w:val="FFFFFF" w:themeColor="background1"/>
                <w:sz w:val="20"/>
                <w:szCs w:val="20"/>
              </w:rPr>
              <w:t>Project Title:</w:t>
            </w:r>
          </w:p>
        </w:tc>
        <w:tc>
          <w:tcPr>
            <w:tcW w:w="5306" w:type="dxa"/>
            <w:gridSpan w:val="4"/>
            <w:vAlign w:val="center"/>
          </w:tcPr>
          <w:p w:rsidR="00C56E3D" w:rsidRPr="0082597E" w:rsidRDefault="00C56E3D" w:rsidP="00946047">
            <w:pPr>
              <w:pStyle w:val="Standardparatable"/>
              <w:ind w:right="0"/>
              <w:rPr>
                <w:b/>
                <w:sz w:val="20"/>
                <w:szCs w:val="20"/>
              </w:rPr>
            </w:pPr>
          </w:p>
        </w:tc>
      </w:tr>
      <w:tr w:rsidR="00C56E3D" w:rsidRPr="0082597E" w:rsidTr="00C56E3D">
        <w:tc>
          <w:tcPr>
            <w:tcW w:w="3936" w:type="dxa"/>
            <w:tcBorders>
              <w:top w:val="single" w:sz="6" w:space="0" w:color="auto"/>
              <w:bottom w:val="single" w:sz="6" w:space="0" w:color="auto"/>
            </w:tcBorders>
            <w:shd w:val="clear" w:color="auto" w:fill="31849B" w:themeFill="accent5" w:themeFillShade="BF"/>
          </w:tcPr>
          <w:p w:rsidR="00C56E3D" w:rsidRPr="0082597E" w:rsidRDefault="00C56E3D" w:rsidP="00946047">
            <w:pPr>
              <w:pStyle w:val="Standardparatable"/>
              <w:ind w:right="0"/>
              <w:jc w:val="center"/>
              <w:rPr>
                <w:b/>
                <w:sz w:val="18"/>
                <w:szCs w:val="18"/>
              </w:rPr>
            </w:pPr>
          </w:p>
        </w:tc>
        <w:tc>
          <w:tcPr>
            <w:tcW w:w="1326" w:type="dxa"/>
            <w:shd w:val="clear" w:color="auto" w:fill="31849B" w:themeFill="accent5" w:themeFillShade="BF"/>
            <w:vAlign w:val="center"/>
          </w:tcPr>
          <w:p w:rsidR="00C56E3D" w:rsidRPr="0082597E" w:rsidRDefault="00C56E3D" w:rsidP="00946047">
            <w:pPr>
              <w:pStyle w:val="Standardparatable"/>
              <w:ind w:right="0"/>
              <w:jc w:val="center"/>
              <w:rPr>
                <w:b/>
                <w:color w:val="FFFFFF" w:themeColor="background1"/>
                <w:sz w:val="20"/>
                <w:szCs w:val="20"/>
              </w:rPr>
            </w:pPr>
            <w:r w:rsidRPr="0082597E">
              <w:rPr>
                <w:b/>
                <w:color w:val="FFFFFF" w:themeColor="background1"/>
                <w:sz w:val="20"/>
                <w:szCs w:val="20"/>
              </w:rPr>
              <w:t>IA</w:t>
            </w:r>
          </w:p>
        </w:tc>
        <w:tc>
          <w:tcPr>
            <w:tcW w:w="1327" w:type="dxa"/>
            <w:shd w:val="clear" w:color="auto" w:fill="31849B" w:themeFill="accent5" w:themeFillShade="BF"/>
            <w:vAlign w:val="center"/>
          </w:tcPr>
          <w:p w:rsidR="00C56E3D" w:rsidRPr="0082597E" w:rsidRDefault="00C56E3D" w:rsidP="00946047">
            <w:pPr>
              <w:pStyle w:val="Standardparatable"/>
              <w:ind w:right="0"/>
              <w:jc w:val="center"/>
              <w:rPr>
                <w:b/>
                <w:color w:val="FFFFFF" w:themeColor="background1"/>
                <w:sz w:val="20"/>
                <w:szCs w:val="20"/>
              </w:rPr>
            </w:pPr>
            <w:r w:rsidRPr="0082597E">
              <w:rPr>
                <w:b/>
                <w:color w:val="FFFFFF" w:themeColor="background1"/>
                <w:sz w:val="20"/>
                <w:szCs w:val="20"/>
              </w:rPr>
              <w:t>OBC</w:t>
            </w:r>
          </w:p>
        </w:tc>
        <w:tc>
          <w:tcPr>
            <w:tcW w:w="1326" w:type="dxa"/>
            <w:shd w:val="clear" w:color="auto" w:fill="31849B" w:themeFill="accent5" w:themeFillShade="BF"/>
            <w:vAlign w:val="center"/>
          </w:tcPr>
          <w:p w:rsidR="00C56E3D" w:rsidRPr="0082597E" w:rsidRDefault="00C56E3D" w:rsidP="00946047">
            <w:pPr>
              <w:pStyle w:val="Standardparatable"/>
              <w:ind w:right="0"/>
              <w:jc w:val="center"/>
              <w:rPr>
                <w:b/>
                <w:color w:val="FFFFFF" w:themeColor="background1"/>
                <w:sz w:val="20"/>
                <w:szCs w:val="20"/>
              </w:rPr>
            </w:pPr>
            <w:r w:rsidRPr="0082597E">
              <w:rPr>
                <w:b/>
                <w:color w:val="FFFFFF" w:themeColor="background1"/>
                <w:sz w:val="20"/>
                <w:szCs w:val="20"/>
              </w:rPr>
              <w:t>FBC</w:t>
            </w:r>
          </w:p>
        </w:tc>
        <w:tc>
          <w:tcPr>
            <w:tcW w:w="1327" w:type="dxa"/>
            <w:shd w:val="clear" w:color="auto" w:fill="31849B" w:themeFill="accent5" w:themeFillShade="BF"/>
            <w:vAlign w:val="center"/>
          </w:tcPr>
          <w:p w:rsidR="00C56E3D" w:rsidRPr="0082597E" w:rsidRDefault="00C56E3D" w:rsidP="00946047">
            <w:pPr>
              <w:pStyle w:val="Standardparatable"/>
              <w:ind w:right="0"/>
              <w:jc w:val="center"/>
              <w:rPr>
                <w:b/>
                <w:color w:val="FFFFFF" w:themeColor="background1"/>
                <w:sz w:val="20"/>
                <w:szCs w:val="20"/>
              </w:rPr>
            </w:pPr>
            <w:r w:rsidRPr="0082597E">
              <w:rPr>
                <w:b/>
                <w:color w:val="FFFFFF" w:themeColor="background1"/>
                <w:sz w:val="20"/>
                <w:szCs w:val="20"/>
              </w:rPr>
              <w:t>Actual</w:t>
            </w:r>
          </w:p>
        </w:tc>
      </w:tr>
      <w:tr w:rsidR="00C56E3D" w:rsidRPr="0082597E" w:rsidTr="00C56E3D">
        <w:tc>
          <w:tcPr>
            <w:tcW w:w="3936" w:type="dxa"/>
            <w:shd w:val="clear" w:color="auto" w:fill="92CDDC" w:themeFill="accent5" w:themeFillTint="99"/>
          </w:tcPr>
          <w:p w:rsidR="00C56E3D" w:rsidRDefault="00C56E3D" w:rsidP="00946047">
            <w:pPr>
              <w:pStyle w:val="Standardparatable"/>
              <w:ind w:right="0"/>
              <w:rPr>
                <w:b/>
                <w:sz w:val="18"/>
                <w:szCs w:val="18"/>
              </w:rPr>
            </w:pPr>
            <w:r>
              <w:rPr>
                <w:b/>
                <w:sz w:val="18"/>
                <w:szCs w:val="18"/>
              </w:rPr>
              <w:t>Project Milestones:</w:t>
            </w:r>
          </w:p>
          <w:p w:rsidR="00C56E3D" w:rsidRPr="00C56E3D" w:rsidRDefault="00C56E3D" w:rsidP="00946047">
            <w:pPr>
              <w:pStyle w:val="Standardparatable"/>
              <w:ind w:right="0"/>
              <w:rPr>
                <w:sz w:val="16"/>
                <w:szCs w:val="16"/>
              </w:rPr>
            </w:pPr>
            <w:r w:rsidRPr="00C56E3D">
              <w:rPr>
                <w:sz w:val="16"/>
                <w:szCs w:val="16"/>
              </w:rPr>
              <w:t xml:space="preserve">(taken from </w:t>
            </w:r>
            <w:r>
              <w:rPr>
                <w:sz w:val="16"/>
                <w:szCs w:val="16"/>
              </w:rPr>
              <w:t>P</w:t>
            </w:r>
            <w:r w:rsidRPr="00C56E3D">
              <w:rPr>
                <w:sz w:val="16"/>
                <w:szCs w:val="16"/>
              </w:rPr>
              <w:t xml:space="preserve">roject </w:t>
            </w:r>
            <w:r>
              <w:rPr>
                <w:sz w:val="16"/>
                <w:szCs w:val="16"/>
              </w:rPr>
              <w:t>P</w:t>
            </w:r>
            <w:r w:rsidRPr="00C56E3D">
              <w:rPr>
                <w:sz w:val="16"/>
                <w:szCs w:val="16"/>
              </w:rPr>
              <w:t xml:space="preserve">lan in </w:t>
            </w:r>
            <w:r w:rsidR="003E3957">
              <w:rPr>
                <w:sz w:val="16"/>
                <w:szCs w:val="16"/>
              </w:rPr>
              <w:t>Management</w:t>
            </w:r>
            <w:r w:rsidR="00207EFD">
              <w:rPr>
                <w:sz w:val="16"/>
                <w:szCs w:val="16"/>
              </w:rPr>
              <w:t xml:space="preserve"> </w:t>
            </w:r>
            <w:r w:rsidRPr="00C56E3D">
              <w:rPr>
                <w:sz w:val="16"/>
                <w:szCs w:val="16"/>
              </w:rPr>
              <w:t>Case)</w:t>
            </w: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r w:rsidR="00C56E3D" w:rsidRPr="0082597E" w:rsidTr="00C56E3D">
        <w:tc>
          <w:tcPr>
            <w:tcW w:w="3936" w:type="dxa"/>
          </w:tcPr>
          <w:p w:rsidR="00C56E3D" w:rsidRPr="0082597E" w:rsidRDefault="00C56E3D" w:rsidP="00946047">
            <w:pPr>
              <w:pStyle w:val="Standardparatable"/>
              <w:ind w:right="0"/>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r w:rsidR="00C56E3D" w:rsidRPr="0082597E" w:rsidTr="00C56E3D">
        <w:tc>
          <w:tcPr>
            <w:tcW w:w="3936" w:type="dxa"/>
          </w:tcPr>
          <w:p w:rsidR="00C56E3D" w:rsidRPr="0082597E" w:rsidRDefault="00C56E3D" w:rsidP="00946047">
            <w:pPr>
              <w:pStyle w:val="Standardparatable"/>
              <w:ind w:right="0"/>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r w:rsidR="00C56E3D" w:rsidRPr="0082597E" w:rsidTr="00C56E3D">
        <w:tc>
          <w:tcPr>
            <w:tcW w:w="3936" w:type="dxa"/>
          </w:tcPr>
          <w:p w:rsidR="00C56E3D" w:rsidRPr="0082597E" w:rsidRDefault="00C56E3D" w:rsidP="00946047">
            <w:pPr>
              <w:pStyle w:val="Standardparatable"/>
              <w:ind w:right="0"/>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r w:rsidR="00C56E3D" w:rsidRPr="0082597E" w:rsidTr="00C56E3D">
        <w:tc>
          <w:tcPr>
            <w:tcW w:w="3936" w:type="dxa"/>
          </w:tcPr>
          <w:p w:rsidR="00C56E3D" w:rsidRPr="0082597E" w:rsidRDefault="00C56E3D" w:rsidP="00946047">
            <w:pPr>
              <w:pStyle w:val="Standardparatable"/>
              <w:ind w:right="0"/>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r w:rsidR="00C56E3D" w:rsidRPr="0082597E" w:rsidTr="00C56E3D">
        <w:tc>
          <w:tcPr>
            <w:tcW w:w="3936" w:type="dxa"/>
          </w:tcPr>
          <w:p w:rsidR="00C56E3D" w:rsidRPr="0082597E" w:rsidRDefault="00C56E3D" w:rsidP="00946047">
            <w:pPr>
              <w:pStyle w:val="Standardparatable"/>
              <w:ind w:right="0"/>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r w:rsidR="00C56E3D" w:rsidRPr="0082597E" w:rsidTr="00C56E3D">
        <w:tc>
          <w:tcPr>
            <w:tcW w:w="3936" w:type="dxa"/>
            <w:shd w:val="clear" w:color="auto" w:fill="92CDDC" w:themeFill="accent5" w:themeFillTint="99"/>
          </w:tcPr>
          <w:p w:rsidR="00C56E3D" w:rsidRDefault="00C56E3D" w:rsidP="00946047">
            <w:pPr>
              <w:pStyle w:val="Standardparatable"/>
              <w:ind w:right="0"/>
              <w:rPr>
                <w:b/>
                <w:sz w:val="18"/>
                <w:szCs w:val="18"/>
              </w:rPr>
            </w:pPr>
            <w:r>
              <w:rPr>
                <w:b/>
                <w:sz w:val="18"/>
                <w:szCs w:val="18"/>
              </w:rPr>
              <w:t>Procurement Timetable</w:t>
            </w:r>
            <w:r w:rsidRPr="0082597E">
              <w:rPr>
                <w:b/>
                <w:sz w:val="18"/>
                <w:szCs w:val="18"/>
              </w:rPr>
              <w:t>:</w:t>
            </w:r>
          </w:p>
          <w:p w:rsidR="00C56E3D" w:rsidRPr="00C56E3D" w:rsidRDefault="00C56E3D" w:rsidP="00946047">
            <w:pPr>
              <w:pStyle w:val="Standardparatable"/>
              <w:ind w:right="0"/>
              <w:rPr>
                <w:sz w:val="16"/>
                <w:szCs w:val="16"/>
              </w:rPr>
            </w:pPr>
            <w:r>
              <w:rPr>
                <w:sz w:val="16"/>
                <w:szCs w:val="16"/>
              </w:rPr>
              <w:t>(taken from Commercial Case)</w:t>
            </w: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r w:rsidR="00C56E3D" w:rsidRPr="0082597E" w:rsidTr="00C56E3D">
        <w:tc>
          <w:tcPr>
            <w:tcW w:w="3936" w:type="dxa"/>
          </w:tcPr>
          <w:p w:rsidR="00C56E3D" w:rsidRPr="0082597E" w:rsidRDefault="00C56E3D" w:rsidP="00946047">
            <w:pPr>
              <w:pStyle w:val="Standardparatable"/>
              <w:ind w:right="0"/>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r w:rsidR="00C56E3D" w:rsidRPr="0082597E" w:rsidTr="00C56E3D">
        <w:tc>
          <w:tcPr>
            <w:tcW w:w="3936" w:type="dxa"/>
          </w:tcPr>
          <w:p w:rsidR="00C56E3D" w:rsidRPr="0082597E" w:rsidRDefault="00C56E3D" w:rsidP="00946047">
            <w:pPr>
              <w:pStyle w:val="Standardparatable"/>
              <w:ind w:right="0"/>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r w:rsidR="00C56E3D" w:rsidRPr="0082597E" w:rsidTr="00C56E3D">
        <w:tc>
          <w:tcPr>
            <w:tcW w:w="3936" w:type="dxa"/>
          </w:tcPr>
          <w:p w:rsidR="00C56E3D" w:rsidRPr="0082597E" w:rsidRDefault="00C56E3D" w:rsidP="00946047">
            <w:pPr>
              <w:pStyle w:val="Standardparatable"/>
              <w:ind w:right="0"/>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r w:rsidR="00C56E3D" w:rsidRPr="0082597E" w:rsidTr="00C56E3D">
        <w:tc>
          <w:tcPr>
            <w:tcW w:w="3936" w:type="dxa"/>
          </w:tcPr>
          <w:p w:rsidR="00C56E3D" w:rsidRPr="0082597E" w:rsidRDefault="00C56E3D" w:rsidP="00946047">
            <w:pPr>
              <w:pStyle w:val="Standardparatable"/>
              <w:ind w:right="0"/>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r w:rsidR="00C56E3D" w:rsidRPr="0082597E" w:rsidTr="00C56E3D">
        <w:tc>
          <w:tcPr>
            <w:tcW w:w="3936" w:type="dxa"/>
          </w:tcPr>
          <w:p w:rsidR="00C56E3D" w:rsidRPr="0082597E" w:rsidRDefault="00C56E3D" w:rsidP="00946047">
            <w:pPr>
              <w:pStyle w:val="Standardparatable"/>
              <w:ind w:right="0"/>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c>
          <w:tcPr>
            <w:tcW w:w="1326" w:type="dxa"/>
            <w:vAlign w:val="center"/>
          </w:tcPr>
          <w:p w:rsidR="00C56E3D" w:rsidRPr="0082597E" w:rsidRDefault="00C56E3D" w:rsidP="00946047">
            <w:pPr>
              <w:pStyle w:val="Standardparatable"/>
              <w:ind w:right="0"/>
              <w:jc w:val="center"/>
              <w:rPr>
                <w:sz w:val="18"/>
                <w:szCs w:val="18"/>
              </w:rPr>
            </w:pPr>
          </w:p>
        </w:tc>
        <w:tc>
          <w:tcPr>
            <w:tcW w:w="1327" w:type="dxa"/>
            <w:vAlign w:val="center"/>
          </w:tcPr>
          <w:p w:rsidR="00C56E3D" w:rsidRPr="0082597E" w:rsidRDefault="00C56E3D" w:rsidP="00946047">
            <w:pPr>
              <w:pStyle w:val="Standardparatable"/>
              <w:ind w:right="0"/>
              <w:jc w:val="center"/>
              <w:rPr>
                <w:sz w:val="18"/>
                <w:szCs w:val="18"/>
              </w:rPr>
            </w:pPr>
          </w:p>
        </w:tc>
      </w:tr>
    </w:tbl>
    <w:p w:rsidR="00C56E3D" w:rsidRDefault="00C56E3D" w:rsidP="00C56E3D">
      <w:pPr>
        <w:pStyle w:val="NoSpacing"/>
      </w:pPr>
    </w:p>
    <w:p w:rsidR="00C961B1" w:rsidRDefault="00D7535B" w:rsidP="00E04955">
      <w:pPr>
        <w:pStyle w:val="Standardparagraph"/>
      </w:pPr>
      <w:r>
        <w:t>An explanation is needed of</w:t>
      </w:r>
      <w:r w:rsidR="00C56E3D">
        <w:t xml:space="preserve"> all signifi</w:t>
      </w:r>
      <w:r w:rsidR="00FA0B00">
        <w:t>cant programme</w:t>
      </w:r>
      <w:r w:rsidR="00586FC2">
        <w:t xml:space="preserve"> changes between</w:t>
      </w:r>
      <w:r w:rsidR="00472F1A">
        <w:t xml:space="preserve"> each</w:t>
      </w:r>
      <w:r w:rsidR="00586FC2">
        <w:t xml:space="preserve"> stage</w:t>
      </w:r>
      <w:r w:rsidR="00E04955">
        <w:t>.</w:t>
      </w:r>
    </w:p>
    <w:sectPr w:rsidR="00C961B1" w:rsidSect="00B94BED">
      <w:footerReference w:type="default" r:id="rId23"/>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E4D" w:rsidRDefault="00AB7E4D" w:rsidP="00F73226">
      <w:pPr>
        <w:spacing w:after="0" w:line="240" w:lineRule="auto"/>
      </w:pPr>
      <w:r>
        <w:separator/>
      </w:r>
    </w:p>
  </w:endnote>
  <w:endnote w:type="continuationSeparator" w:id="0">
    <w:p w:rsidR="00AB7E4D" w:rsidRDefault="00AB7E4D" w:rsidP="00F73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4D" w:rsidRPr="003F3BA0" w:rsidRDefault="00AB7E4D">
    <w:pPr>
      <w:pStyle w:val="Footer"/>
      <w:rPr>
        <w:rFonts w:ascii="Arial" w:hAnsi="Arial" w:cs="Arial"/>
        <w:sz w:val="20"/>
        <w:szCs w:val="20"/>
      </w:rPr>
    </w:pPr>
    <w:r>
      <w:tab/>
    </w:r>
    <w:r>
      <w:tab/>
    </w:r>
    <w:r w:rsidRPr="003F3BA0">
      <w:rPr>
        <w:rFonts w:ascii="Arial" w:hAnsi="Arial" w:cs="Arial"/>
        <w:sz w:val="20"/>
        <w:szCs w:val="20"/>
      </w:rPr>
      <w:t>Latest drafting: 30/01/2017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4D" w:rsidRPr="003F3BA0" w:rsidRDefault="00AB7E4D" w:rsidP="005B6DD1">
    <w:pPr>
      <w:pStyle w:val="Footer"/>
      <w:pBdr>
        <w:top w:val="single" w:sz="6" w:space="1" w:color="auto"/>
      </w:pBdr>
      <w:rPr>
        <w:rFonts w:ascii="Arial" w:hAnsi="Arial" w:cs="Arial"/>
        <w:sz w:val="20"/>
        <w:szCs w:val="20"/>
      </w:rPr>
    </w:pPr>
    <w:r w:rsidRPr="003F3BA0">
      <w:rPr>
        <w:rFonts w:ascii="Arial" w:hAnsi="Arial" w:cs="Arial"/>
        <w:sz w:val="20"/>
        <w:szCs w:val="20"/>
      </w:rPr>
      <w:t>Project Monitoring &amp; Evaluation</w:t>
    </w:r>
    <w:r w:rsidRPr="003F3BA0">
      <w:rPr>
        <w:rFonts w:ascii="Arial" w:hAnsi="Arial" w:cs="Arial"/>
        <w:sz w:val="20"/>
        <w:szCs w:val="20"/>
      </w:rPr>
      <w:tab/>
    </w:r>
    <w:r w:rsidRPr="003F3BA0">
      <w:rPr>
        <w:rFonts w:ascii="Arial" w:hAnsi="Arial" w:cs="Arial"/>
        <w:sz w:val="20"/>
        <w:szCs w:val="20"/>
      </w:rPr>
      <w:tab/>
      <w:t xml:space="preserve">Page </w:t>
    </w:r>
    <w:r w:rsidR="001E3AD4" w:rsidRPr="003F3BA0">
      <w:rPr>
        <w:rFonts w:ascii="Arial" w:hAnsi="Arial" w:cs="Arial"/>
        <w:sz w:val="20"/>
        <w:szCs w:val="20"/>
      </w:rPr>
      <w:fldChar w:fldCharType="begin"/>
    </w:r>
    <w:r w:rsidRPr="003F3BA0">
      <w:rPr>
        <w:rFonts w:ascii="Arial" w:hAnsi="Arial" w:cs="Arial"/>
        <w:sz w:val="20"/>
        <w:szCs w:val="20"/>
      </w:rPr>
      <w:instrText xml:space="preserve"> PAGE   \* MERGEFORMAT </w:instrText>
    </w:r>
    <w:r w:rsidR="001E3AD4" w:rsidRPr="003F3BA0">
      <w:rPr>
        <w:rFonts w:ascii="Arial" w:hAnsi="Arial" w:cs="Arial"/>
        <w:sz w:val="20"/>
        <w:szCs w:val="20"/>
      </w:rPr>
      <w:fldChar w:fldCharType="separate"/>
    </w:r>
    <w:r w:rsidR="003F3BA0">
      <w:rPr>
        <w:rFonts w:ascii="Arial" w:hAnsi="Arial" w:cs="Arial"/>
        <w:noProof/>
        <w:sz w:val="20"/>
        <w:szCs w:val="20"/>
      </w:rPr>
      <w:t>1</w:t>
    </w:r>
    <w:r w:rsidR="001E3AD4" w:rsidRPr="003F3BA0">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4D" w:rsidRPr="003F3BA0" w:rsidRDefault="00AB7E4D" w:rsidP="005B6DD1">
    <w:pPr>
      <w:pStyle w:val="Footer"/>
      <w:pBdr>
        <w:top w:val="single" w:sz="6" w:space="1" w:color="auto"/>
      </w:pBdr>
      <w:rPr>
        <w:rFonts w:ascii="Arial" w:hAnsi="Arial" w:cs="Arial"/>
        <w:sz w:val="20"/>
        <w:szCs w:val="20"/>
      </w:rPr>
    </w:pPr>
    <w:r w:rsidRPr="003F3BA0">
      <w:rPr>
        <w:rFonts w:ascii="Arial" w:hAnsi="Arial" w:cs="Arial"/>
        <w:sz w:val="20"/>
        <w:szCs w:val="20"/>
      </w:rPr>
      <w:t>Project Monitoring &amp; Evaluation</w:t>
    </w:r>
    <w:r w:rsidRPr="003F3BA0">
      <w:rPr>
        <w:rFonts w:ascii="Arial" w:hAnsi="Arial" w:cs="Arial"/>
        <w:sz w:val="20"/>
        <w:szCs w:val="20"/>
      </w:rPr>
      <w:tab/>
    </w:r>
    <w:r w:rsidRPr="003F3BA0">
      <w:rPr>
        <w:rFonts w:ascii="Arial" w:hAnsi="Arial" w:cs="Arial"/>
        <w:sz w:val="20"/>
        <w:szCs w:val="20"/>
      </w:rPr>
      <w:tab/>
      <w:t>Appendix A</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4D" w:rsidRPr="003F3BA0" w:rsidRDefault="00AB7E4D" w:rsidP="005B6DD1">
    <w:pPr>
      <w:pStyle w:val="Footer"/>
      <w:pBdr>
        <w:top w:val="single" w:sz="6" w:space="1" w:color="auto"/>
      </w:pBdr>
      <w:rPr>
        <w:rFonts w:ascii="Arial" w:hAnsi="Arial" w:cs="Arial"/>
        <w:sz w:val="20"/>
        <w:szCs w:val="20"/>
      </w:rPr>
    </w:pPr>
    <w:r w:rsidRPr="003F3BA0">
      <w:rPr>
        <w:rFonts w:ascii="Arial" w:hAnsi="Arial" w:cs="Arial"/>
        <w:sz w:val="20"/>
        <w:szCs w:val="20"/>
      </w:rPr>
      <w:t>Project Monitoring &amp; Evaluation</w:t>
    </w:r>
    <w:r w:rsidRPr="003F3BA0">
      <w:rPr>
        <w:rFonts w:ascii="Arial" w:hAnsi="Arial" w:cs="Arial"/>
        <w:sz w:val="20"/>
        <w:szCs w:val="20"/>
      </w:rPr>
      <w:tab/>
    </w:r>
    <w:r w:rsidRPr="003F3BA0">
      <w:rPr>
        <w:rFonts w:ascii="Arial" w:hAnsi="Arial" w:cs="Arial"/>
        <w:sz w:val="20"/>
        <w:szCs w:val="20"/>
      </w:rPr>
      <w:tab/>
      <w:t>Appendix B</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4D" w:rsidRPr="003F3BA0" w:rsidRDefault="00AB7E4D" w:rsidP="005B6DD1">
    <w:pPr>
      <w:pStyle w:val="Footer"/>
      <w:pBdr>
        <w:top w:val="single" w:sz="6" w:space="1" w:color="auto"/>
      </w:pBdr>
      <w:rPr>
        <w:rFonts w:ascii="Arial" w:hAnsi="Arial" w:cs="Arial"/>
        <w:sz w:val="20"/>
        <w:szCs w:val="20"/>
      </w:rPr>
    </w:pPr>
    <w:r w:rsidRPr="003F3BA0">
      <w:rPr>
        <w:rFonts w:ascii="Arial" w:hAnsi="Arial" w:cs="Arial"/>
        <w:sz w:val="20"/>
        <w:szCs w:val="20"/>
      </w:rPr>
      <w:t>Project Monitoring &amp; Evaluation</w:t>
    </w:r>
    <w:r w:rsidRPr="003F3BA0">
      <w:rPr>
        <w:rFonts w:ascii="Arial" w:hAnsi="Arial" w:cs="Arial"/>
        <w:sz w:val="20"/>
        <w:szCs w:val="20"/>
      </w:rPr>
      <w:tab/>
    </w:r>
    <w:r w:rsidRPr="003F3BA0">
      <w:rPr>
        <w:rFonts w:ascii="Arial" w:hAnsi="Arial" w:cs="Arial"/>
        <w:sz w:val="20"/>
        <w:szCs w:val="20"/>
      </w:rPr>
      <w:tab/>
      <w:t>Appendix 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E4D" w:rsidRDefault="00AB7E4D" w:rsidP="00F73226">
      <w:pPr>
        <w:spacing w:after="0" w:line="240" w:lineRule="auto"/>
      </w:pPr>
      <w:r>
        <w:separator/>
      </w:r>
    </w:p>
  </w:footnote>
  <w:footnote w:type="continuationSeparator" w:id="0">
    <w:p w:rsidR="00AB7E4D" w:rsidRDefault="00AB7E4D" w:rsidP="00F73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4D" w:rsidRDefault="001E3AD4">
    <w:pPr>
      <w:pStyle w:val="Header"/>
    </w:pPr>
    <w:r>
      <w:rPr>
        <w:noProof/>
      </w:rPr>
      <w:pict>
        <v:group id="_x0000_s4112" style="position:absolute;margin-left:-18.7pt;margin-top:-7.9pt;width:505.1pt;height:42.25pt;z-index:251658240" coordorigin="1063,548" coordsize="10102,845">
          <v:rect id="_x0000_s4113" style="position:absolute;left:1063;top:548;width:964;height:649;v-text-anchor:middle">
            <v:textbox style="mso-next-textbox:#_x0000_s4113">
              <w:txbxContent>
                <w:p w:rsidR="00AB7E4D" w:rsidRPr="006A3417" w:rsidRDefault="00AB7E4D" w:rsidP="004305FE">
                  <w:pPr>
                    <w:spacing w:after="0" w:line="240" w:lineRule="auto"/>
                    <w:jc w:val="center"/>
                    <w:rPr>
                      <w:rFonts w:cs="Arial"/>
                      <w:sz w:val="12"/>
                      <w:szCs w:val="12"/>
                    </w:rPr>
                  </w:pPr>
                  <w:r w:rsidRPr="006A3417">
                    <w:rPr>
                      <w:rFonts w:cs="Arial"/>
                      <w:sz w:val="12"/>
                      <w:szCs w:val="12"/>
                    </w:rPr>
                    <w:t>Service Planning</w:t>
                  </w:r>
                </w:p>
              </w:txbxContent>
            </v:textbox>
          </v:rect>
          <v:rect id="_x0000_s4114" style="position:absolute;left:2240;top:548;width:964;height:649;v-text-anchor:middle">
            <v:textbox style="mso-next-textbox:#_x0000_s4114">
              <w:txbxContent>
                <w:p w:rsidR="00AB7E4D" w:rsidRPr="003F3E6B" w:rsidRDefault="00AB7E4D" w:rsidP="004305FE">
                  <w:pPr>
                    <w:spacing w:after="0" w:line="240" w:lineRule="auto"/>
                    <w:jc w:val="center"/>
                    <w:rPr>
                      <w:rFonts w:cs="Arial"/>
                      <w:sz w:val="12"/>
                      <w:szCs w:val="12"/>
                    </w:rPr>
                  </w:pPr>
                  <w:r w:rsidRPr="003F3E6B">
                    <w:rPr>
                      <w:rFonts w:cs="Arial"/>
                      <w:sz w:val="12"/>
                      <w:szCs w:val="12"/>
                    </w:rPr>
                    <w:t>LDP</w:t>
                  </w:r>
                </w:p>
              </w:txbxContent>
            </v:textbox>
          </v:rect>
          <v:rect id="_x0000_s4115" style="position:absolute;left:3427;top:548;width:964;height:649;v-text-anchor:middle">
            <v:textbox style="mso-next-textbox:#_x0000_s4115">
              <w:txbxContent>
                <w:p w:rsidR="00AB7E4D" w:rsidRPr="003F3E6B" w:rsidRDefault="00AB7E4D" w:rsidP="004305FE">
                  <w:pPr>
                    <w:spacing w:after="0" w:line="240" w:lineRule="auto"/>
                    <w:jc w:val="center"/>
                    <w:rPr>
                      <w:rFonts w:cs="Arial"/>
                      <w:sz w:val="12"/>
                      <w:szCs w:val="12"/>
                    </w:rPr>
                  </w:pPr>
                  <w:r w:rsidRPr="003F3E6B">
                    <w:rPr>
                      <w:rFonts w:cs="Arial"/>
                      <w:sz w:val="12"/>
                      <w:szCs w:val="12"/>
                    </w:rPr>
                    <w:t>PAMS</w:t>
                  </w:r>
                </w:p>
              </w:txbxContent>
            </v:textbox>
          </v:rect>
          <v:rect id="_x0000_s4116" style="position:absolute;left:4593;top:551;width:964;height:646;mso-position-horizontal:absolute;mso-position-vertical:absolute;v-text-anchor:middle" filled="f" fillcolor="#e36c0a [2409]">
            <v:textbox style="mso-next-textbox:#_x0000_s4116">
              <w:txbxContent>
                <w:p w:rsidR="00AB7E4D" w:rsidRPr="00ED5C94" w:rsidRDefault="00AB7E4D" w:rsidP="004305FE">
                  <w:pPr>
                    <w:spacing w:after="0" w:line="240" w:lineRule="auto"/>
                    <w:jc w:val="center"/>
                    <w:rPr>
                      <w:rFonts w:cs="Arial"/>
                      <w:color w:val="000000" w:themeColor="text1"/>
                      <w:sz w:val="12"/>
                      <w:szCs w:val="12"/>
                    </w:rPr>
                  </w:pPr>
                  <w:r w:rsidRPr="00ED5C94">
                    <w:rPr>
                      <w:rFonts w:cs="Arial"/>
                      <w:color w:val="000000" w:themeColor="text1"/>
                      <w:sz w:val="12"/>
                      <w:szCs w:val="12"/>
                    </w:rPr>
                    <w:t>Strategic Assessment</w:t>
                  </w:r>
                </w:p>
              </w:txbxContent>
            </v:textbox>
          </v:rect>
          <v:rect id="_x0000_s4117" style="position:absolute;left:5773;top:551;width:964;height:646;mso-position-vertical:absolute;v-text-anchor:middle" filled="f" fillcolor="#c00000">
            <v:textbox style="mso-next-textbox:#_x0000_s4117">
              <w:txbxContent>
                <w:p w:rsidR="00AB7E4D" w:rsidRPr="004305FE" w:rsidRDefault="00AB7E4D" w:rsidP="004305FE">
                  <w:pPr>
                    <w:spacing w:after="0" w:line="240" w:lineRule="auto"/>
                    <w:jc w:val="center"/>
                    <w:rPr>
                      <w:rFonts w:cs="Arial"/>
                      <w:color w:val="000000" w:themeColor="text1"/>
                      <w:sz w:val="12"/>
                      <w:szCs w:val="12"/>
                    </w:rPr>
                  </w:pPr>
                  <w:r w:rsidRPr="004305FE">
                    <w:rPr>
                      <w:rFonts w:cs="Arial"/>
                      <w:color w:val="000000" w:themeColor="text1"/>
                      <w:sz w:val="12"/>
                      <w:szCs w:val="12"/>
                    </w:rPr>
                    <w:t>Initial Agreement</w:t>
                  </w:r>
                </w:p>
              </w:txbxContent>
            </v:textbox>
          </v:rect>
          <v:rect id="_x0000_s4118" style="position:absolute;left:6940;top:551;width:964;height:646;mso-position-vertical:absolute;v-text-anchor:middle" fillcolor="#31849b [2408]">
            <v:textbox style="mso-next-textbox:#_x0000_s4118">
              <w:txbxContent>
                <w:p w:rsidR="00AB7E4D" w:rsidRPr="0055457A" w:rsidRDefault="00AB7E4D" w:rsidP="004305FE">
                  <w:pPr>
                    <w:spacing w:after="0" w:line="240" w:lineRule="auto"/>
                    <w:jc w:val="center"/>
                    <w:rPr>
                      <w:rFonts w:cs="Arial"/>
                      <w:color w:val="FFFFFF" w:themeColor="background1"/>
                      <w:sz w:val="12"/>
                      <w:szCs w:val="12"/>
                    </w:rPr>
                  </w:pPr>
                  <w:r w:rsidRPr="0055457A">
                    <w:rPr>
                      <w:rFonts w:cs="Arial"/>
                      <w:color w:val="FFFFFF" w:themeColor="background1"/>
                      <w:sz w:val="12"/>
                      <w:szCs w:val="12"/>
                    </w:rPr>
                    <w:t>OBC</w:t>
                  </w:r>
                </w:p>
              </w:txbxContent>
            </v:textbox>
          </v:rect>
          <v:shapetype id="_x0000_t32" coordsize="21600,21600" o:spt="32" o:oned="t" path="m,l21600,21600e" filled="f">
            <v:path arrowok="t" fillok="f" o:connecttype="none"/>
            <o:lock v:ext="edit" shapetype="t"/>
          </v:shapetype>
          <v:shape id="_x0000_s4119" type="#_x0000_t32" style="position:absolute;left:2020;top:908;width:220;height:0" o:connectortype="straight"/>
          <v:shape id="_x0000_s4120" type="#_x0000_t32" style="position:absolute;left:3207;top:908;width:220;height:0" o:connectortype="straight"/>
          <v:shape id="_x0000_s4121" type="#_x0000_t32" style="position:absolute;left:4391;top:906;width:202;height:3" o:connectortype="straight"/>
          <v:shape id="_x0000_s4122" type="#_x0000_t32" style="position:absolute;left:5553;top:908;width:220;height:0" o:connectortype="straight"/>
          <v:shape id="_x0000_s4123" type="#_x0000_t32" style="position:absolute;left:6733;top:908;width:207;height:1" o:connectortype="straight"/>
          <v:shape id="_x0000_s4124" type="#_x0000_t32" style="position:absolute;left:7903;top:908;width:220;height:0" o:connectortype="straight"/>
          <v:rect id="_x0000_s4125" style="position:absolute;left:10485;top:551;width:680;height:646;mso-position-vertical:absolute;v-text-anchor:middle" fillcolor="#17365d [2415]">
            <v:textbox style="mso-next-textbox:#_x0000_s4125">
              <w:txbxContent>
                <w:p w:rsidR="00AB7E4D" w:rsidRPr="0055457A" w:rsidRDefault="00AB7E4D" w:rsidP="004305FE">
                  <w:pPr>
                    <w:spacing w:after="0" w:line="240" w:lineRule="auto"/>
                    <w:jc w:val="center"/>
                    <w:rPr>
                      <w:rFonts w:cs="Arial"/>
                      <w:color w:val="FFFFFF" w:themeColor="background1"/>
                      <w:sz w:val="12"/>
                      <w:szCs w:val="12"/>
                    </w:rPr>
                  </w:pPr>
                  <w:r w:rsidRPr="0055457A">
                    <w:rPr>
                      <w:rFonts w:cs="Arial"/>
                      <w:color w:val="FFFFFF" w:themeColor="background1"/>
                      <w:sz w:val="12"/>
                      <w:szCs w:val="12"/>
                    </w:rPr>
                    <w:t>PME</w:t>
                  </w:r>
                </w:p>
              </w:txbxContent>
            </v:textbox>
          </v:rect>
          <v:rect id="_x0000_s4126" style="position:absolute;left:8123;top:551;width:964;height:646;mso-position-vertical:absolute;v-text-anchor:middle" fillcolor="#5f497a [2407]">
            <v:textbox style="mso-next-textbox:#_x0000_s4126" inset=",0,,0">
              <w:txbxContent>
                <w:p w:rsidR="00AB7E4D" w:rsidRPr="0055457A" w:rsidRDefault="00AB7E4D" w:rsidP="004305FE">
                  <w:pPr>
                    <w:spacing w:after="0" w:line="240" w:lineRule="auto"/>
                    <w:jc w:val="center"/>
                    <w:rPr>
                      <w:rFonts w:cs="Arial"/>
                      <w:color w:val="FFFFFF" w:themeColor="background1"/>
                      <w:sz w:val="12"/>
                      <w:szCs w:val="12"/>
                    </w:rPr>
                  </w:pPr>
                  <w:r w:rsidRPr="0055457A">
                    <w:rPr>
                      <w:rFonts w:cs="Arial"/>
                      <w:color w:val="FFFFFF" w:themeColor="background1"/>
                      <w:sz w:val="12"/>
                      <w:szCs w:val="12"/>
                    </w:rPr>
                    <w:t>FBC</w:t>
                  </w:r>
                </w:p>
              </w:txbxContent>
            </v:textbox>
          </v:rect>
          <v:shape id="_x0000_s4127" type="#_x0000_t32" style="position:absolute;left:1706;top:1382;width:8869;height:11;flip:y" o:connectortype="straight"/>
          <v:shape id="_x0000_s4128" type="#_x0000_t32" style="position:absolute;left:9083;top:908;width:220;height:0" o:connectortype="straight"/>
          <v:rect id="_x0000_s4129" style="position:absolute;left:9303;top:551;width:964;height:646;mso-position-vertical:absolute;v-text-anchor:middle" fillcolor="#17365d [2415]">
            <v:textbox style="mso-next-textbox:#_x0000_s4129" inset="0,0,0,0">
              <w:txbxContent>
                <w:p w:rsidR="00AB7E4D" w:rsidRPr="003F3E6B" w:rsidRDefault="00AB7E4D" w:rsidP="004305FE">
                  <w:pPr>
                    <w:spacing w:after="0" w:line="240" w:lineRule="auto"/>
                    <w:jc w:val="center"/>
                    <w:rPr>
                      <w:rFonts w:cs="Arial"/>
                      <w:sz w:val="12"/>
                      <w:szCs w:val="12"/>
                    </w:rPr>
                  </w:pPr>
                  <w:r w:rsidRPr="003F3E6B">
                    <w:rPr>
                      <w:rFonts w:cs="Arial"/>
                      <w:sz w:val="12"/>
                      <w:szCs w:val="12"/>
                    </w:rPr>
                    <w:t>Construction &amp; Commissioning</w:t>
                  </w:r>
                </w:p>
              </w:txbxContent>
            </v:textbox>
          </v:rect>
          <v:shape id="_x0000_s4130" type="#_x0000_t32" style="position:absolute;left:10263;top:908;width:220;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4131" type="#_x0000_t19" style="position:absolute;left:1502;top:1212;width:170;height:170;rotation:180">
            <v:stroke endarrow="block" endarrowwidth="wide"/>
          </v:shape>
          <v:shape id="_x0000_s4132" type="#_x0000_t19" style="position:absolute;left:10612;top:1209;width:170;height:170;rotation:90">
            <v:stroke endarrow="block" endarrowwidth="wid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A265E8"/>
    <w:lvl w:ilvl="0">
      <w:start w:val="1"/>
      <w:numFmt w:val="bullet"/>
      <w:lvlText w:val=""/>
      <w:lvlJc w:val="left"/>
      <w:pPr>
        <w:tabs>
          <w:tab w:val="num" w:pos="643"/>
        </w:tabs>
        <w:ind w:left="643" w:hanging="360"/>
      </w:pPr>
      <w:rPr>
        <w:rFonts w:ascii="Symbol" w:hAnsi="Symbol" w:hint="default"/>
      </w:rPr>
    </w:lvl>
  </w:abstractNum>
  <w:abstractNum w:abstractNumId="1">
    <w:nsid w:val="03255B54"/>
    <w:multiLevelType w:val="multilevel"/>
    <w:tmpl w:val="67127958"/>
    <w:lvl w:ilvl="0">
      <w:start w:val="1"/>
      <w:numFmt w:val="bullet"/>
      <w:pStyle w:val="Standard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26769"/>
    <w:multiLevelType w:val="hybridMultilevel"/>
    <w:tmpl w:val="DA9A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4B4DA1"/>
    <w:multiLevelType w:val="hybridMultilevel"/>
    <w:tmpl w:val="D22C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1A3331"/>
    <w:multiLevelType w:val="hybridMultilevel"/>
    <w:tmpl w:val="BE60F42A"/>
    <w:lvl w:ilvl="0" w:tplc="95F0AA86">
      <w:start w:val="1"/>
      <w:numFmt w:val="bullet"/>
      <w:pStyle w:val="Standardsub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399C573E"/>
    <w:multiLevelType w:val="hybridMultilevel"/>
    <w:tmpl w:val="369A2624"/>
    <w:lvl w:ilvl="0" w:tplc="08090001">
      <w:start w:val="1"/>
      <w:numFmt w:val="bullet"/>
      <w:lvlText w:val=""/>
      <w:lvlJc w:val="left"/>
      <w:pPr>
        <w:ind w:left="720" w:hanging="360"/>
      </w:pPr>
      <w:rPr>
        <w:rFonts w:ascii="Symbol" w:hAnsi="Symbol" w:hint="default"/>
      </w:rPr>
    </w:lvl>
    <w:lvl w:ilvl="1" w:tplc="B8CCE65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F108D2"/>
    <w:multiLevelType w:val="hybridMultilevel"/>
    <w:tmpl w:val="80D60798"/>
    <w:lvl w:ilvl="0" w:tplc="8F0C35E0">
      <w:start w:val="1"/>
      <w:numFmt w:val="decimal"/>
      <w:pStyle w:val="StandardNumberBullet"/>
      <w:lvlText w:val="%1."/>
      <w:lvlJc w:val="left"/>
      <w:pPr>
        <w:ind w:left="1780" w:hanging="360"/>
      </w:pPr>
    </w:lvl>
    <w:lvl w:ilvl="1" w:tplc="DE76E804" w:tentative="1">
      <w:start w:val="1"/>
      <w:numFmt w:val="lowerLetter"/>
      <w:lvlText w:val="%2."/>
      <w:lvlJc w:val="left"/>
      <w:pPr>
        <w:ind w:left="2500" w:hanging="360"/>
      </w:pPr>
    </w:lvl>
    <w:lvl w:ilvl="2" w:tplc="87C6554C">
      <w:start w:val="1"/>
      <w:numFmt w:val="lowerRoman"/>
      <w:lvlText w:val="%3."/>
      <w:lvlJc w:val="right"/>
      <w:pPr>
        <w:ind w:left="3220" w:hanging="180"/>
      </w:pPr>
    </w:lvl>
    <w:lvl w:ilvl="3" w:tplc="CCDCA0D0" w:tentative="1">
      <w:start w:val="1"/>
      <w:numFmt w:val="decimal"/>
      <w:lvlText w:val="%4."/>
      <w:lvlJc w:val="left"/>
      <w:pPr>
        <w:ind w:left="3940" w:hanging="360"/>
      </w:pPr>
    </w:lvl>
    <w:lvl w:ilvl="4" w:tplc="CA2208BA" w:tentative="1">
      <w:start w:val="1"/>
      <w:numFmt w:val="lowerLetter"/>
      <w:lvlText w:val="%5."/>
      <w:lvlJc w:val="left"/>
      <w:pPr>
        <w:ind w:left="4660" w:hanging="360"/>
      </w:pPr>
    </w:lvl>
    <w:lvl w:ilvl="5" w:tplc="0AAE0242" w:tentative="1">
      <w:start w:val="1"/>
      <w:numFmt w:val="lowerRoman"/>
      <w:lvlText w:val="%6."/>
      <w:lvlJc w:val="right"/>
      <w:pPr>
        <w:ind w:left="5380" w:hanging="180"/>
      </w:pPr>
    </w:lvl>
    <w:lvl w:ilvl="6" w:tplc="1C2639C0" w:tentative="1">
      <w:start w:val="1"/>
      <w:numFmt w:val="decimal"/>
      <w:lvlText w:val="%7."/>
      <w:lvlJc w:val="left"/>
      <w:pPr>
        <w:ind w:left="6100" w:hanging="360"/>
      </w:pPr>
    </w:lvl>
    <w:lvl w:ilvl="7" w:tplc="F080E1AA" w:tentative="1">
      <w:start w:val="1"/>
      <w:numFmt w:val="lowerLetter"/>
      <w:lvlText w:val="%8."/>
      <w:lvlJc w:val="left"/>
      <w:pPr>
        <w:ind w:left="6820" w:hanging="360"/>
      </w:pPr>
    </w:lvl>
    <w:lvl w:ilvl="8" w:tplc="EA1E4802" w:tentative="1">
      <w:start w:val="1"/>
      <w:numFmt w:val="lowerRoman"/>
      <w:lvlText w:val="%9."/>
      <w:lvlJc w:val="right"/>
      <w:pPr>
        <w:ind w:left="7540" w:hanging="180"/>
      </w:pPr>
    </w:lvl>
  </w:abstractNum>
  <w:abstractNum w:abstractNumId="7">
    <w:nsid w:val="51DB7810"/>
    <w:multiLevelType w:val="hybridMultilevel"/>
    <w:tmpl w:val="63EEF9C4"/>
    <w:lvl w:ilvl="0" w:tplc="0809000F">
      <w:start w:val="1"/>
      <w:numFmt w:val="decimal"/>
      <w:pStyle w:val="StandardBullet0"/>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E33EAE"/>
    <w:multiLevelType w:val="hybridMultilevel"/>
    <w:tmpl w:val="B7641CA6"/>
    <w:lvl w:ilvl="0" w:tplc="82928520">
      <w:start w:val="1"/>
      <w:numFmt w:val="decimal"/>
      <w:pStyle w:val="Standardnumberbullet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D25382"/>
    <w:multiLevelType w:val="multilevel"/>
    <w:tmpl w:val="5842691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nsid w:val="6B4E6886"/>
    <w:multiLevelType w:val="hybridMultilevel"/>
    <w:tmpl w:val="3790055E"/>
    <w:lvl w:ilvl="0" w:tplc="0809000F">
      <w:start w:val="1"/>
      <w:numFmt w:val="decimal"/>
      <w:lvlText w:val="%1."/>
      <w:lvlJc w:val="left"/>
      <w:pPr>
        <w:ind w:left="720" w:hanging="360"/>
      </w:pPr>
    </w:lvl>
    <w:lvl w:ilvl="1" w:tplc="6C8CD186">
      <w:start w:val="5"/>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C5F4B6C"/>
    <w:multiLevelType w:val="multilevel"/>
    <w:tmpl w:val="6A58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7306D7"/>
    <w:multiLevelType w:val="multilevel"/>
    <w:tmpl w:val="AE30EE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8"/>
  </w:num>
  <w:num w:numId="3">
    <w:abstractNumId w:val="6"/>
  </w:num>
  <w:num w:numId="4">
    <w:abstractNumId w:val="12"/>
  </w:num>
  <w:num w:numId="5">
    <w:abstractNumId w:val="1"/>
  </w:num>
  <w:num w:numId="6">
    <w:abstractNumId w:val="11"/>
  </w:num>
  <w:num w:numId="7">
    <w:abstractNumId w:val="0"/>
  </w:num>
  <w:num w:numId="8">
    <w:abstractNumId w:val="2"/>
  </w:num>
  <w:num w:numId="9">
    <w:abstractNumId w:val="9"/>
  </w:num>
  <w:num w:numId="10">
    <w:abstractNumId w:val="5"/>
  </w:num>
  <w:num w:numId="11">
    <w:abstractNumId w:val="4"/>
  </w:num>
  <w:num w:numId="12">
    <w:abstractNumId w:val="7"/>
  </w:num>
  <w:num w:numId="13">
    <w:abstractNumId w:val="10"/>
  </w:num>
  <w:num w:numId="14">
    <w:abstractNumId w:val="3"/>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Hackett">
    <w15:presenceInfo w15:providerId="AD" w15:userId="S-1-5-21-1935161362-2554539278-565084333-20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4134"/>
    <o:shapelayout v:ext="edit">
      <o:idmap v:ext="edit" data="4"/>
      <o:rules v:ext="edit">
        <o:r id="V:Rule10" type="arc" idref="#_x0000_s4131"/>
        <o:r id="V:Rule11" type="arc" idref="#_x0000_s4132"/>
        <o:r id="V:Rule12" type="connector" idref="#_x0000_s4122"/>
        <o:r id="V:Rule13" type="connector" idref="#_x0000_s4119"/>
        <o:r id="V:Rule14" type="connector" idref="#_x0000_s4124"/>
        <o:r id="V:Rule15" type="connector" idref="#_x0000_s4130"/>
        <o:r id="V:Rule16" type="connector" idref="#_x0000_s4123"/>
        <o:r id="V:Rule17" type="connector" idref="#_x0000_s4128"/>
        <o:r id="V:Rule18" type="connector" idref="#_x0000_s4121"/>
        <o:r id="V:Rule19" type="connector" idref="#_x0000_s4127"/>
        <o:r id="V:Rule20" type="connector" idref="#_x0000_s4120"/>
      </o:rules>
    </o:shapelayout>
  </w:hdrShapeDefaults>
  <w:footnotePr>
    <w:footnote w:id="-1"/>
    <w:footnote w:id="0"/>
  </w:footnotePr>
  <w:endnotePr>
    <w:endnote w:id="-1"/>
    <w:endnote w:id="0"/>
  </w:endnotePr>
  <w:compat>
    <w:useFELayout/>
  </w:compat>
  <w:rsids>
    <w:rsidRoot w:val="00F73226"/>
    <w:rsid w:val="00000668"/>
    <w:rsid w:val="00003172"/>
    <w:rsid w:val="00003968"/>
    <w:rsid w:val="00010D2F"/>
    <w:rsid w:val="00013F42"/>
    <w:rsid w:val="00014075"/>
    <w:rsid w:val="0002066C"/>
    <w:rsid w:val="000223FA"/>
    <w:rsid w:val="00023A34"/>
    <w:rsid w:val="0002418F"/>
    <w:rsid w:val="0005107D"/>
    <w:rsid w:val="00051FF8"/>
    <w:rsid w:val="0005424B"/>
    <w:rsid w:val="00054838"/>
    <w:rsid w:val="00070FA1"/>
    <w:rsid w:val="00083178"/>
    <w:rsid w:val="0008543D"/>
    <w:rsid w:val="000879A9"/>
    <w:rsid w:val="000879CC"/>
    <w:rsid w:val="00092139"/>
    <w:rsid w:val="000A3C23"/>
    <w:rsid w:val="000C31DA"/>
    <w:rsid w:val="000C43D0"/>
    <w:rsid w:val="000C557D"/>
    <w:rsid w:val="000D0595"/>
    <w:rsid w:val="000E1ECC"/>
    <w:rsid w:val="000E4717"/>
    <w:rsid w:val="00103274"/>
    <w:rsid w:val="001032CF"/>
    <w:rsid w:val="001036C8"/>
    <w:rsid w:val="001103F0"/>
    <w:rsid w:val="00110C09"/>
    <w:rsid w:val="00111E3B"/>
    <w:rsid w:val="001143A6"/>
    <w:rsid w:val="00117965"/>
    <w:rsid w:val="00125D04"/>
    <w:rsid w:val="001270AB"/>
    <w:rsid w:val="00130999"/>
    <w:rsid w:val="00137A85"/>
    <w:rsid w:val="001401C5"/>
    <w:rsid w:val="00145086"/>
    <w:rsid w:val="00155781"/>
    <w:rsid w:val="001569DF"/>
    <w:rsid w:val="00164AD7"/>
    <w:rsid w:val="00165CCB"/>
    <w:rsid w:val="001779D7"/>
    <w:rsid w:val="001A3489"/>
    <w:rsid w:val="001B6538"/>
    <w:rsid w:val="001B7EF9"/>
    <w:rsid w:val="001D4FC2"/>
    <w:rsid w:val="001D7486"/>
    <w:rsid w:val="001E385E"/>
    <w:rsid w:val="001E3AD4"/>
    <w:rsid w:val="001E4D77"/>
    <w:rsid w:val="001E6817"/>
    <w:rsid w:val="001E68FC"/>
    <w:rsid w:val="001F2385"/>
    <w:rsid w:val="001F6548"/>
    <w:rsid w:val="00200519"/>
    <w:rsid w:val="0020182C"/>
    <w:rsid w:val="00204114"/>
    <w:rsid w:val="00205745"/>
    <w:rsid w:val="00207EFD"/>
    <w:rsid w:val="002163EE"/>
    <w:rsid w:val="00223B78"/>
    <w:rsid w:val="00227689"/>
    <w:rsid w:val="00230117"/>
    <w:rsid w:val="00230204"/>
    <w:rsid w:val="002309CE"/>
    <w:rsid w:val="00231C97"/>
    <w:rsid w:val="0023667D"/>
    <w:rsid w:val="00236FAA"/>
    <w:rsid w:val="002375F0"/>
    <w:rsid w:val="0025715E"/>
    <w:rsid w:val="00262506"/>
    <w:rsid w:val="0026456D"/>
    <w:rsid w:val="00282391"/>
    <w:rsid w:val="00292F30"/>
    <w:rsid w:val="00295574"/>
    <w:rsid w:val="002962DE"/>
    <w:rsid w:val="002A1F22"/>
    <w:rsid w:val="002A4265"/>
    <w:rsid w:val="002B082D"/>
    <w:rsid w:val="002B4E8D"/>
    <w:rsid w:val="002B5E46"/>
    <w:rsid w:val="002C00F6"/>
    <w:rsid w:val="002C2078"/>
    <w:rsid w:val="002E60B7"/>
    <w:rsid w:val="002F5BE1"/>
    <w:rsid w:val="003058C8"/>
    <w:rsid w:val="00307ECB"/>
    <w:rsid w:val="0031281A"/>
    <w:rsid w:val="00313F2B"/>
    <w:rsid w:val="0032488B"/>
    <w:rsid w:val="00332F81"/>
    <w:rsid w:val="0034585B"/>
    <w:rsid w:val="00352164"/>
    <w:rsid w:val="00374E5F"/>
    <w:rsid w:val="003807D2"/>
    <w:rsid w:val="00382754"/>
    <w:rsid w:val="00385DEE"/>
    <w:rsid w:val="00387DBB"/>
    <w:rsid w:val="003957FF"/>
    <w:rsid w:val="003B0FEF"/>
    <w:rsid w:val="003B3058"/>
    <w:rsid w:val="003B67EB"/>
    <w:rsid w:val="003B6826"/>
    <w:rsid w:val="003B7037"/>
    <w:rsid w:val="003C0458"/>
    <w:rsid w:val="003C6D0F"/>
    <w:rsid w:val="003D1B1F"/>
    <w:rsid w:val="003D63D7"/>
    <w:rsid w:val="003D651C"/>
    <w:rsid w:val="003E3957"/>
    <w:rsid w:val="003E623C"/>
    <w:rsid w:val="003F3BA0"/>
    <w:rsid w:val="00406E76"/>
    <w:rsid w:val="004072B1"/>
    <w:rsid w:val="004144C4"/>
    <w:rsid w:val="00427066"/>
    <w:rsid w:val="004305FE"/>
    <w:rsid w:val="00430DD6"/>
    <w:rsid w:val="0043297C"/>
    <w:rsid w:val="004343F6"/>
    <w:rsid w:val="00436BA3"/>
    <w:rsid w:val="00441EBE"/>
    <w:rsid w:val="00461EA9"/>
    <w:rsid w:val="00463F04"/>
    <w:rsid w:val="0046645E"/>
    <w:rsid w:val="00472F1A"/>
    <w:rsid w:val="004744A4"/>
    <w:rsid w:val="0048504B"/>
    <w:rsid w:val="00493026"/>
    <w:rsid w:val="004A136D"/>
    <w:rsid w:val="004B2272"/>
    <w:rsid w:val="004B6392"/>
    <w:rsid w:val="004C350F"/>
    <w:rsid w:val="004C5025"/>
    <w:rsid w:val="004C6D16"/>
    <w:rsid w:val="004C76CB"/>
    <w:rsid w:val="004D2848"/>
    <w:rsid w:val="004D5132"/>
    <w:rsid w:val="004D5768"/>
    <w:rsid w:val="004E5374"/>
    <w:rsid w:val="004F1E04"/>
    <w:rsid w:val="00505D56"/>
    <w:rsid w:val="00506D59"/>
    <w:rsid w:val="00514B88"/>
    <w:rsid w:val="0051521D"/>
    <w:rsid w:val="005279CB"/>
    <w:rsid w:val="00532AB8"/>
    <w:rsid w:val="00532C63"/>
    <w:rsid w:val="00533EA3"/>
    <w:rsid w:val="00535968"/>
    <w:rsid w:val="005360A1"/>
    <w:rsid w:val="005405A7"/>
    <w:rsid w:val="00542D57"/>
    <w:rsid w:val="00543AE7"/>
    <w:rsid w:val="005456FB"/>
    <w:rsid w:val="00546323"/>
    <w:rsid w:val="00564E27"/>
    <w:rsid w:val="00573D16"/>
    <w:rsid w:val="00586FC2"/>
    <w:rsid w:val="005A3052"/>
    <w:rsid w:val="005B6DD1"/>
    <w:rsid w:val="005C0B26"/>
    <w:rsid w:val="005C1FBA"/>
    <w:rsid w:val="005D02FA"/>
    <w:rsid w:val="005D4AE5"/>
    <w:rsid w:val="005D6CBF"/>
    <w:rsid w:val="005D7962"/>
    <w:rsid w:val="005E2AC3"/>
    <w:rsid w:val="005E2B88"/>
    <w:rsid w:val="00600005"/>
    <w:rsid w:val="0060065C"/>
    <w:rsid w:val="00600C01"/>
    <w:rsid w:val="00606CE8"/>
    <w:rsid w:val="006457AC"/>
    <w:rsid w:val="00647966"/>
    <w:rsid w:val="00650A85"/>
    <w:rsid w:val="00654D32"/>
    <w:rsid w:val="006662C6"/>
    <w:rsid w:val="00684C96"/>
    <w:rsid w:val="006B6EAC"/>
    <w:rsid w:val="006C4F7E"/>
    <w:rsid w:val="006C642C"/>
    <w:rsid w:val="006D63CB"/>
    <w:rsid w:val="006D6CE2"/>
    <w:rsid w:val="007050E5"/>
    <w:rsid w:val="00706605"/>
    <w:rsid w:val="007154B9"/>
    <w:rsid w:val="00717BE8"/>
    <w:rsid w:val="00724690"/>
    <w:rsid w:val="00725B6F"/>
    <w:rsid w:val="007343E4"/>
    <w:rsid w:val="00737A0C"/>
    <w:rsid w:val="007413F9"/>
    <w:rsid w:val="00754532"/>
    <w:rsid w:val="00754B87"/>
    <w:rsid w:val="0075571D"/>
    <w:rsid w:val="00761D9E"/>
    <w:rsid w:val="00783CEA"/>
    <w:rsid w:val="0078486A"/>
    <w:rsid w:val="00785674"/>
    <w:rsid w:val="00785A8E"/>
    <w:rsid w:val="007875A4"/>
    <w:rsid w:val="007932BA"/>
    <w:rsid w:val="0079389A"/>
    <w:rsid w:val="007A152E"/>
    <w:rsid w:val="007A5158"/>
    <w:rsid w:val="007A60DF"/>
    <w:rsid w:val="007B1072"/>
    <w:rsid w:val="007B2AFA"/>
    <w:rsid w:val="007C028C"/>
    <w:rsid w:val="007C12F6"/>
    <w:rsid w:val="007C4EB4"/>
    <w:rsid w:val="007D4885"/>
    <w:rsid w:val="007D6E93"/>
    <w:rsid w:val="007E0DCE"/>
    <w:rsid w:val="007E4CA4"/>
    <w:rsid w:val="007F04A7"/>
    <w:rsid w:val="007F3EA2"/>
    <w:rsid w:val="008015F2"/>
    <w:rsid w:val="008022AB"/>
    <w:rsid w:val="0082597E"/>
    <w:rsid w:val="0083114A"/>
    <w:rsid w:val="00831F61"/>
    <w:rsid w:val="0083464D"/>
    <w:rsid w:val="008357A0"/>
    <w:rsid w:val="00836869"/>
    <w:rsid w:val="00845191"/>
    <w:rsid w:val="008500DE"/>
    <w:rsid w:val="00853272"/>
    <w:rsid w:val="00861407"/>
    <w:rsid w:val="00864453"/>
    <w:rsid w:val="00873EE7"/>
    <w:rsid w:val="00881532"/>
    <w:rsid w:val="008818B1"/>
    <w:rsid w:val="00882C02"/>
    <w:rsid w:val="00884573"/>
    <w:rsid w:val="00885B01"/>
    <w:rsid w:val="00896BF0"/>
    <w:rsid w:val="008A0918"/>
    <w:rsid w:val="008B5238"/>
    <w:rsid w:val="008D22EB"/>
    <w:rsid w:val="008D5E53"/>
    <w:rsid w:val="008E4824"/>
    <w:rsid w:val="008E53FB"/>
    <w:rsid w:val="00901478"/>
    <w:rsid w:val="00903747"/>
    <w:rsid w:val="009077FC"/>
    <w:rsid w:val="00914004"/>
    <w:rsid w:val="00923A7C"/>
    <w:rsid w:val="00927710"/>
    <w:rsid w:val="00932467"/>
    <w:rsid w:val="00943B8E"/>
    <w:rsid w:val="00946047"/>
    <w:rsid w:val="009615C7"/>
    <w:rsid w:val="00962350"/>
    <w:rsid w:val="00965E10"/>
    <w:rsid w:val="00970B48"/>
    <w:rsid w:val="009748F7"/>
    <w:rsid w:val="00977555"/>
    <w:rsid w:val="00982E75"/>
    <w:rsid w:val="009844E5"/>
    <w:rsid w:val="009A139D"/>
    <w:rsid w:val="009A71B2"/>
    <w:rsid w:val="009A7222"/>
    <w:rsid w:val="009B2206"/>
    <w:rsid w:val="009D2291"/>
    <w:rsid w:val="009D508E"/>
    <w:rsid w:val="009F1B72"/>
    <w:rsid w:val="009F5B7F"/>
    <w:rsid w:val="00A00C86"/>
    <w:rsid w:val="00A1161B"/>
    <w:rsid w:val="00A12881"/>
    <w:rsid w:val="00A2072F"/>
    <w:rsid w:val="00A27D45"/>
    <w:rsid w:val="00A33A8B"/>
    <w:rsid w:val="00A37F84"/>
    <w:rsid w:val="00A4601D"/>
    <w:rsid w:val="00A4720C"/>
    <w:rsid w:val="00A519DF"/>
    <w:rsid w:val="00A54DBD"/>
    <w:rsid w:val="00A5640D"/>
    <w:rsid w:val="00A65E02"/>
    <w:rsid w:val="00A6695F"/>
    <w:rsid w:val="00A7480D"/>
    <w:rsid w:val="00A77534"/>
    <w:rsid w:val="00A82E7B"/>
    <w:rsid w:val="00A84AFE"/>
    <w:rsid w:val="00AA561B"/>
    <w:rsid w:val="00AB191A"/>
    <w:rsid w:val="00AB1BF2"/>
    <w:rsid w:val="00AB3AE6"/>
    <w:rsid w:val="00AB7E4D"/>
    <w:rsid w:val="00AC1F6B"/>
    <w:rsid w:val="00AC3129"/>
    <w:rsid w:val="00AD7A26"/>
    <w:rsid w:val="00AF53C6"/>
    <w:rsid w:val="00B04BF5"/>
    <w:rsid w:val="00B127C1"/>
    <w:rsid w:val="00B12D0A"/>
    <w:rsid w:val="00B21481"/>
    <w:rsid w:val="00B230A7"/>
    <w:rsid w:val="00B31323"/>
    <w:rsid w:val="00B31F84"/>
    <w:rsid w:val="00B32929"/>
    <w:rsid w:val="00B363DB"/>
    <w:rsid w:val="00B46224"/>
    <w:rsid w:val="00B56215"/>
    <w:rsid w:val="00B75DAD"/>
    <w:rsid w:val="00B824AA"/>
    <w:rsid w:val="00B86072"/>
    <w:rsid w:val="00B902AA"/>
    <w:rsid w:val="00B9114D"/>
    <w:rsid w:val="00B94BED"/>
    <w:rsid w:val="00BB1E58"/>
    <w:rsid w:val="00BB20F7"/>
    <w:rsid w:val="00BB5022"/>
    <w:rsid w:val="00BB74E3"/>
    <w:rsid w:val="00BC044A"/>
    <w:rsid w:val="00BC3333"/>
    <w:rsid w:val="00BC3574"/>
    <w:rsid w:val="00BE1EAC"/>
    <w:rsid w:val="00BF10C7"/>
    <w:rsid w:val="00C0187E"/>
    <w:rsid w:val="00C05BF2"/>
    <w:rsid w:val="00C05C7F"/>
    <w:rsid w:val="00C13001"/>
    <w:rsid w:val="00C14549"/>
    <w:rsid w:val="00C1502F"/>
    <w:rsid w:val="00C15D70"/>
    <w:rsid w:val="00C16CA9"/>
    <w:rsid w:val="00C2107C"/>
    <w:rsid w:val="00C21942"/>
    <w:rsid w:val="00C3436A"/>
    <w:rsid w:val="00C43A6A"/>
    <w:rsid w:val="00C47103"/>
    <w:rsid w:val="00C56E3D"/>
    <w:rsid w:val="00C61B2A"/>
    <w:rsid w:val="00C62732"/>
    <w:rsid w:val="00C62C8B"/>
    <w:rsid w:val="00C6372C"/>
    <w:rsid w:val="00C63CDF"/>
    <w:rsid w:val="00C64668"/>
    <w:rsid w:val="00C706C1"/>
    <w:rsid w:val="00C71F9C"/>
    <w:rsid w:val="00C805CE"/>
    <w:rsid w:val="00C808A9"/>
    <w:rsid w:val="00C90847"/>
    <w:rsid w:val="00C961B1"/>
    <w:rsid w:val="00CA1B44"/>
    <w:rsid w:val="00CA6D2A"/>
    <w:rsid w:val="00CC0D45"/>
    <w:rsid w:val="00CC443F"/>
    <w:rsid w:val="00CC4635"/>
    <w:rsid w:val="00CC51B8"/>
    <w:rsid w:val="00CC5CEC"/>
    <w:rsid w:val="00CD4414"/>
    <w:rsid w:val="00CE15A5"/>
    <w:rsid w:val="00CF1FED"/>
    <w:rsid w:val="00CF4276"/>
    <w:rsid w:val="00CF7C18"/>
    <w:rsid w:val="00D04D8D"/>
    <w:rsid w:val="00D11D5E"/>
    <w:rsid w:val="00D208AD"/>
    <w:rsid w:val="00D20E4D"/>
    <w:rsid w:val="00D34632"/>
    <w:rsid w:val="00D4070B"/>
    <w:rsid w:val="00D509D1"/>
    <w:rsid w:val="00D510AF"/>
    <w:rsid w:val="00D51D37"/>
    <w:rsid w:val="00D534A1"/>
    <w:rsid w:val="00D7078C"/>
    <w:rsid w:val="00D7535B"/>
    <w:rsid w:val="00D76D14"/>
    <w:rsid w:val="00D80971"/>
    <w:rsid w:val="00D829D9"/>
    <w:rsid w:val="00D84989"/>
    <w:rsid w:val="00DA0CBC"/>
    <w:rsid w:val="00DA2B20"/>
    <w:rsid w:val="00DA2C27"/>
    <w:rsid w:val="00DB1C7E"/>
    <w:rsid w:val="00DC1244"/>
    <w:rsid w:val="00DC7243"/>
    <w:rsid w:val="00DD78C0"/>
    <w:rsid w:val="00DE157D"/>
    <w:rsid w:val="00DF6477"/>
    <w:rsid w:val="00E005A1"/>
    <w:rsid w:val="00E033A4"/>
    <w:rsid w:val="00E04955"/>
    <w:rsid w:val="00E120A0"/>
    <w:rsid w:val="00E250B5"/>
    <w:rsid w:val="00E473E6"/>
    <w:rsid w:val="00E55175"/>
    <w:rsid w:val="00E802D2"/>
    <w:rsid w:val="00E8327A"/>
    <w:rsid w:val="00E841E8"/>
    <w:rsid w:val="00E84845"/>
    <w:rsid w:val="00EA1815"/>
    <w:rsid w:val="00EA38E2"/>
    <w:rsid w:val="00EA715B"/>
    <w:rsid w:val="00EB221F"/>
    <w:rsid w:val="00EC3E21"/>
    <w:rsid w:val="00EE4EB5"/>
    <w:rsid w:val="00F00213"/>
    <w:rsid w:val="00F0441C"/>
    <w:rsid w:val="00F05C0E"/>
    <w:rsid w:val="00F1400B"/>
    <w:rsid w:val="00F164D5"/>
    <w:rsid w:val="00F261D9"/>
    <w:rsid w:val="00F42967"/>
    <w:rsid w:val="00F44182"/>
    <w:rsid w:val="00F4491A"/>
    <w:rsid w:val="00F603C5"/>
    <w:rsid w:val="00F6555C"/>
    <w:rsid w:val="00F73226"/>
    <w:rsid w:val="00F74D5B"/>
    <w:rsid w:val="00F85860"/>
    <w:rsid w:val="00F85993"/>
    <w:rsid w:val="00F87DF3"/>
    <w:rsid w:val="00F91221"/>
    <w:rsid w:val="00FA0B00"/>
    <w:rsid w:val="00FA504A"/>
    <w:rsid w:val="00FA7DF8"/>
    <w:rsid w:val="00FB1E20"/>
    <w:rsid w:val="00FE3799"/>
    <w:rsid w:val="00FE41AF"/>
    <w:rsid w:val="00FE52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4D"/>
  </w:style>
  <w:style w:type="paragraph" w:styleId="Heading1">
    <w:name w:val="heading 1"/>
    <w:basedOn w:val="Normal"/>
    <w:next w:val="Normal"/>
    <w:link w:val="Heading1Char"/>
    <w:uiPriority w:val="9"/>
    <w:qFormat/>
    <w:rsid w:val="00532C63"/>
    <w:pPr>
      <w:keepNext/>
      <w:keepLines/>
      <w:numPr>
        <w:numId w:val="4"/>
      </w:numPr>
      <w:spacing w:before="240" w:after="240" w:line="360" w:lineRule="auto"/>
      <w:ind w:left="567" w:hanging="567"/>
      <w:outlineLvl w:val="0"/>
    </w:pPr>
    <w:rPr>
      <w:rFonts w:ascii="Arial" w:eastAsiaTheme="majorEastAsia" w:hAnsi="Arial" w:cstheme="majorBidi"/>
      <w:b/>
      <w:bCs/>
      <w:color w:val="000000" w:themeColor="text1"/>
      <w:sz w:val="28"/>
      <w:szCs w:val="28"/>
    </w:rPr>
  </w:style>
  <w:style w:type="paragraph" w:styleId="Heading2">
    <w:name w:val="heading 2"/>
    <w:basedOn w:val="Normal"/>
    <w:next w:val="Standardparagraph"/>
    <w:link w:val="Heading2Char"/>
    <w:uiPriority w:val="9"/>
    <w:unhideWhenUsed/>
    <w:qFormat/>
    <w:rsid w:val="00946047"/>
    <w:pPr>
      <w:keepNext/>
      <w:keepLines/>
      <w:numPr>
        <w:ilvl w:val="1"/>
        <w:numId w:val="4"/>
      </w:numPr>
      <w:spacing w:before="240" w:after="240"/>
      <w:ind w:left="578" w:hanging="578"/>
      <w:outlineLvl w:val="1"/>
    </w:pPr>
    <w:rPr>
      <w:rFonts w:ascii="Arial" w:eastAsiaTheme="majorEastAsia" w:hAnsi="Arial" w:cstheme="majorBidi"/>
      <w:b/>
      <w:bCs/>
      <w:color w:val="000000" w:themeColor="text1"/>
      <w:sz w:val="28"/>
      <w:szCs w:val="26"/>
    </w:rPr>
  </w:style>
  <w:style w:type="paragraph" w:styleId="Heading3">
    <w:name w:val="heading 3"/>
    <w:basedOn w:val="Normal"/>
    <w:next w:val="Standardparagraph"/>
    <w:link w:val="Heading3Char"/>
    <w:uiPriority w:val="9"/>
    <w:unhideWhenUsed/>
    <w:qFormat/>
    <w:rsid w:val="00532C63"/>
    <w:pPr>
      <w:keepNext/>
      <w:keepLines/>
      <w:numPr>
        <w:ilvl w:val="2"/>
        <w:numId w:val="4"/>
      </w:numPr>
      <w:spacing w:before="240" w:after="240"/>
      <w:outlineLvl w:val="2"/>
    </w:pPr>
    <w:rPr>
      <w:rFonts w:ascii="Arial" w:eastAsiaTheme="majorEastAsia" w:hAnsi="Arial" w:cstheme="majorBidi"/>
      <w:b/>
      <w:bCs/>
      <w:color w:val="000000" w:themeColor="text1"/>
      <w:sz w:val="24"/>
    </w:rPr>
  </w:style>
  <w:style w:type="paragraph" w:styleId="Heading4">
    <w:name w:val="heading 4"/>
    <w:basedOn w:val="Normal"/>
    <w:next w:val="Normal"/>
    <w:link w:val="Heading4Char"/>
    <w:uiPriority w:val="9"/>
    <w:unhideWhenUsed/>
    <w:qFormat/>
    <w:rsid w:val="00532C63"/>
    <w:pPr>
      <w:keepNext/>
      <w:keepLines/>
      <w:numPr>
        <w:ilvl w:val="3"/>
        <w:numId w:val="4"/>
      </w:numPr>
      <w:spacing w:before="200" w:after="0"/>
      <w:outlineLvl w:val="3"/>
    </w:pPr>
    <w:rPr>
      <w:rFonts w:ascii="Arial" w:eastAsiaTheme="majorEastAsia" w:hAnsi="Arial" w:cstheme="majorBidi"/>
      <w:b/>
      <w:bCs/>
      <w:i/>
      <w:iCs/>
      <w:color w:val="4F81BD" w:themeColor="accent1"/>
    </w:rPr>
  </w:style>
  <w:style w:type="paragraph" w:styleId="Heading5">
    <w:name w:val="heading 5"/>
    <w:basedOn w:val="Normal"/>
    <w:link w:val="Heading5Char"/>
    <w:uiPriority w:val="9"/>
    <w:qFormat/>
    <w:rsid w:val="00532C63"/>
    <w:pPr>
      <w:numPr>
        <w:ilvl w:val="4"/>
        <w:numId w:val="4"/>
      </w:numPr>
      <w:spacing w:after="96" w:line="240" w:lineRule="auto"/>
      <w:outlineLvl w:val="4"/>
    </w:pPr>
    <w:rPr>
      <w:rFonts w:ascii="Times New Roman" w:eastAsia="Times New Roman" w:hAnsi="Times New Roman" w:cs="Times New Roman"/>
      <w:b/>
      <w:bCs/>
      <w:color w:val="335183"/>
      <w:sz w:val="31"/>
      <w:szCs w:val="31"/>
    </w:rPr>
  </w:style>
  <w:style w:type="paragraph" w:styleId="Heading6">
    <w:name w:val="heading 6"/>
    <w:basedOn w:val="Normal"/>
    <w:link w:val="Heading6Char"/>
    <w:uiPriority w:val="9"/>
    <w:qFormat/>
    <w:rsid w:val="00532C63"/>
    <w:pPr>
      <w:numPr>
        <w:ilvl w:val="5"/>
        <w:numId w:val="4"/>
      </w:numPr>
      <w:spacing w:after="0" w:line="240" w:lineRule="auto"/>
      <w:outlineLvl w:val="5"/>
    </w:pPr>
    <w:rPr>
      <w:rFonts w:ascii="Times New Roman" w:eastAsia="Times New Roman" w:hAnsi="Times New Roman" w:cs="Times New Roman"/>
      <w:b/>
      <w:bCs/>
      <w:color w:val="335183"/>
      <w:sz w:val="31"/>
      <w:szCs w:val="31"/>
    </w:rPr>
  </w:style>
  <w:style w:type="paragraph" w:styleId="Heading7">
    <w:name w:val="heading 7"/>
    <w:basedOn w:val="Normal"/>
    <w:next w:val="Normal"/>
    <w:link w:val="Heading7Char"/>
    <w:uiPriority w:val="9"/>
    <w:semiHidden/>
    <w:unhideWhenUsed/>
    <w:qFormat/>
    <w:rsid w:val="00532C6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2C6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2C6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numberbullet0">
    <w:name w:val="Standard number bullet"/>
    <w:basedOn w:val="Normal"/>
    <w:qFormat/>
    <w:rsid w:val="00F73226"/>
    <w:pPr>
      <w:widowControl w:val="0"/>
      <w:numPr>
        <w:numId w:val="2"/>
      </w:numPr>
      <w:tabs>
        <w:tab w:val="left" w:pos="720"/>
        <w:tab w:val="left" w:pos="1440"/>
        <w:tab w:val="left" w:pos="2160"/>
        <w:tab w:val="left" w:pos="2880"/>
        <w:tab w:val="left" w:pos="4680"/>
        <w:tab w:val="left" w:pos="5400"/>
        <w:tab w:val="right" w:pos="8460"/>
        <w:tab w:val="right" w:pos="8820"/>
      </w:tabs>
      <w:adjustRightInd w:val="0"/>
      <w:spacing w:after="240" w:line="360" w:lineRule="auto"/>
      <w:ind w:right="204"/>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F73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226"/>
    <w:rPr>
      <w:rFonts w:ascii="Tahoma" w:hAnsi="Tahoma" w:cs="Tahoma"/>
      <w:sz w:val="16"/>
      <w:szCs w:val="16"/>
    </w:rPr>
  </w:style>
  <w:style w:type="paragraph" w:customStyle="1" w:styleId="StandardParagraph0">
    <w:name w:val="Standard Paragraph"/>
    <w:basedOn w:val="Normal"/>
    <w:link w:val="StandardParagraphChar"/>
    <w:qFormat/>
    <w:rsid w:val="00F73226"/>
    <w:pPr>
      <w:widowControl w:val="0"/>
      <w:tabs>
        <w:tab w:val="left" w:pos="720"/>
        <w:tab w:val="left" w:pos="1440"/>
        <w:tab w:val="left" w:pos="2160"/>
        <w:tab w:val="left" w:pos="2880"/>
        <w:tab w:val="left" w:pos="4680"/>
        <w:tab w:val="left" w:pos="5400"/>
        <w:tab w:val="right" w:pos="8460"/>
        <w:tab w:val="right" w:pos="8820"/>
      </w:tabs>
      <w:adjustRightInd w:val="0"/>
      <w:spacing w:after="240" w:line="360" w:lineRule="auto"/>
      <w:ind w:right="204"/>
      <w:textAlignment w:val="baseline"/>
    </w:pPr>
    <w:rPr>
      <w:rFonts w:ascii="Arial" w:eastAsia="Times New Roman" w:hAnsi="Arial" w:cs="Times New Roman"/>
      <w:sz w:val="24"/>
      <w:szCs w:val="20"/>
    </w:rPr>
  </w:style>
  <w:style w:type="character" w:styleId="Emphasis">
    <w:name w:val="Emphasis"/>
    <w:uiPriority w:val="20"/>
    <w:qFormat/>
    <w:rsid w:val="00F73226"/>
    <w:rPr>
      <w:i/>
      <w:iCs/>
    </w:rPr>
  </w:style>
  <w:style w:type="table" w:styleId="TableGrid">
    <w:name w:val="Table Grid"/>
    <w:basedOn w:val="TableNormal"/>
    <w:uiPriority w:val="59"/>
    <w:rsid w:val="00F73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paratable">
    <w:name w:val="Standard para table"/>
    <w:basedOn w:val="StandardParagraph0"/>
    <w:qFormat/>
    <w:rsid w:val="00F73226"/>
    <w:pPr>
      <w:spacing w:before="120" w:after="120" w:line="276" w:lineRule="auto"/>
    </w:pPr>
    <w:rPr>
      <w:szCs w:val="24"/>
    </w:rPr>
  </w:style>
  <w:style w:type="paragraph" w:customStyle="1" w:styleId="StandardNumberBullet">
    <w:name w:val="Standard Number Bullet"/>
    <w:basedOn w:val="Normal"/>
    <w:qFormat/>
    <w:rsid w:val="00F73226"/>
    <w:pPr>
      <w:numPr>
        <w:numId w:val="3"/>
      </w:numPr>
      <w:spacing w:line="240" w:lineRule="auto"/>
    </w:pPr>
    <w:rPr>
      <w:rFonts w:ascii="Arial" w:eastAsia="Calibri" w:hAnsi="Arial" w:cs="Arial"/>
    </w:rPr>
  </w:style>
  <w:style w:type="paragraph" w:customStyle="1" w:styleId="Standardnumberbullettable">
    <w:name w:val="Standard number bullet table"/>
    <w:basedOn w:val="StandardNumberBullet"/>
    <w:qFormat/>
    <w:rsid w:val="00F73226"/>
    <w:pPr>
      <w:ind w:left="318" w:hanging="318"/>
    </w:pPr>
  </w:style>
  <w:style w:type="paragraph" w:customStyle="1" w:styleId="Standardparagraph">
    <w:name w:val="Standard paragraph"/>
    <w:basedOn w:val="Normal"/>
    <w:qFormat/>
    <w:rsid w:val="007A5158"/>
    <w:pPr>
      <w:widowControl w:val="0"/>
      <w:tabs>
        <w:tab w:val="left" w:pos="720"/>
        <w:tab w:val="left" w:pos="1440"/>
        <w:tab w:val="left" w:pos="2160"/>
        <w:tab w:val="left" w:pos="2880"/>
        <w:tab w:val="left" w:pos="4680"/>
        <w:tab w:val="left" w:pos="5400"/>
        <w:tab w:val="right" w:pos="8460"/>
        <w:tab w:val="right" w:pos="8820"/>
      </w:tabs>
      <w:adjustRightInd w:val="0"/>
      <w:spacing w:after="240" w:line="360" w:lineRule="auto"/>
      <w:ind w:right="204"/>
      <w:textAlignment w:val="baseline"/>
    </w:pPr>
    <w:rPr>
      <w:rFonts w:ascii="Arial" w:eastAsia="Times New Roman" w:hAnsi="Arial" w:cs="Times New Roman"/>
      <w:sz w:val="24"/>
      <w:szCs w:val="20"/>
    </w:rPr>
  </w:style>
  <w:style w:type="paragraph" w:styleId="Footer">
    <w:name w:val="footer"/>
    <w:basedOn w:val="Normal"/>
    <w:link w:val="FooterChar"/>
    <w:uiPriority w:val="99"/>
    <w:unhideWhenUsed/>
    <w:rsid w:val="00F73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226"/>
  </w:style>
  <w:style w:type="paragraph" w:customStyle="1" w:styleId="FrontPageTitle">
    <w:name w:val="Front Page Title"/>
    <w:basedOn w:val="Normal"/>
    <w:qFormat/>
    <w:rsid w:val="00F73226"/>
    <w:rPr>
      <w:rFonts w:ascii="Arial" w:eastAsiaTheme="majorEastAsia" w:hAnsi="Arial" w:cstheme="majorBidi"/>
      <w:b/>
      <w:color w:val="548DD4" w:themeColor="text2" w:themeTint="99"/>
      <w:spacing w:val="5"/>
      <w:kern w:val="28"/>
      <w:sz w:val="52"/>
      <w:szCs w:val="52"/>
    </w:rPr>
  </w:style>
  <w:style w:type="paragraph" w:styleId="Header">
    <w:name w:val="header"/>
    <w:basedOn w:val="Normal"/>
    <w:link w:val="HeaderChar"/>
    <w:uiPriority w:val="99"/>
    <w:unhideWhenUsed/>
    <w:rsid w:val="00F73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226"/>
  </w:style>
  <w:style w:type="character" w:customStyle="1" w:styleId="Heading1Char">
    <w:name w:val="Heading 1 Char"/>
    <w:basedOn w:val="DefaultParagraphFont"/>
    <w:link w:val="Heading1"/>
    <w:uiPriority w:val="9"/>
    <w:rsid w:val="00532C6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946047"/>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rsid w:val="00532C63"/>
    <w:rPr>
      <w:rFonts w:ascii="Arial" w:eastAsiaTheme="majorEastAsia" w:hAnsi="Arial" w:cstheme="majorBidi"/>
      <w:b/>
      <w:bCs/>
      <w:color w:val="000000" w:themeColor="text1"/>
      <w:sz w:val="24"/>
    </w:rPr>
  </w:style>
  <w:style w:type="character" w:customStyle="1" w:styleId="Heading4Char">
    <w:name w:val="Heading 4 Char"/>
    <w:basedOn w:val="DefaultParagraphFont"/>
    <w:link w:val="Heading4"/>
    <w:uiPriority w:val="9"/>
    <w:rsid w:val="00532C63"/>
    <w:rPr>
      <w:rFonts w:ascii="Arial" w:eastAsiaTheme="majorEastAsia" w:hAnsi="Arial" w:cstheme="majorBidi"/>
      <w:b/>
      <w:bCs/>
      <w:i/>
      <w:iCs/>
      <w:color w:val="4F81BD" w:themeColor="accent1"/>
    </w:rPr>
  </w:style>
  <w:style w:type="character" w:customStyle="1" w:styleId="Heading5Char">
    <w:name w:val="Heading 5 Char"/>
    <w:basedOn w:val="DefaultParagraphFont"/>
    <w:link w:val="Heading5"/>
    <w:uiPriority w:val="9"/>
    <w:rsid w:val="00532C63"/>
    <w:rPr>
      <w:rFonts w:ascii="Times New Roman" w:eastAsia="Times New Roman" w:hAnsi="Times New Roman" w:cs="Times New Roman"/>
      <w:b/>
      <w:bCs/>
      <w:color w:val="335183"/>
      <w:sz w:val="31"/>
      <w:szCs w:val="31"/>
      <w:lang w:eastAsia="en-GB"/>
    </w:rPr>
  </w:style>
  <w:style w:type="character" w:customStyle="1" w:styleId="Heading6Char">
    <w:name w:val="Heading 6 Char"/>
    <w:basedOn w:val="DefaultParagraphFont"/>
    <w:link w:val="Heading6"/>
    <w:uiPriority w:val="9"/>
    <w:rsid w:val="00532C63"/>
    <w:rPr>
      <w:rFonts w:ascii="Times New Roman" w:eastAsia="Times New Roman" w:hAnsi="Times New Roman" w:cs="Times New Roman"/>
      <w:b/>
      <w:bCs/>
      <w:color w:val="335183"/>
      <w:sz w:val="31"/>
      <w:szCs w:val="31"/>
      <w:lang w:eastAsia="en-GB"/>
    </w:rPr>
  </w:style>
  <w:style w:type="character" w:customStyle="1" w:styleId="Heading7Char">
    <w:name w:val="Heading 7 Char"/>
    <w:basedOn w:val="DefaultParagraphFont"/>
    <w:link w:val="Heading7"/>
    <w:uiPriority w:val="9"/>
    <w:semiHidden/>
    <w:rsid w:val="00532C6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2C6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2C63"/>
    <w:rPr>
      <w:rFonts w:asciiTheme="majorHAnsi" w:eastAsiaTheme="majorEastAsia" w:hAnsiTheme="majorHAnsi" w:cstheme="majorBidi"/>
      <w:i/>
      <w:iCs/>
      <w:color w:val="404040" w:themeColor="text1" w:themeTint="BF"/>
      <w:sz w:val="20"/>
      <w:szCs w:val="20"/>
    </w:rPr>
  </w:style>
  <w:style w:type="paragraph" w:customStyle="1" w:styleId="Standardbullet">
    <w:name w:val="Standard bullet"/>
    <w:basedOn w:val="Normal"/>
    <w:qFormat/>
    <w:rsid w:val="005D4AE5"/>
    <w:pPr>
      <w:numPr>
        <w:numId w:val="5"/>
      </w:numPr>
      <w:shd w:val="clear" w:color="auto" w:fill="FFFFFF"/>
      <w:spacing w:before="120" w:after="120" w:line="360" w:lineRule="auto"/>
    </w:pPr>
    <w:rPr>
      <w:rFonts w:ascii="Arial" w:eastAsia="Times New Roman" w:hAnsi="Arial" w:cs="Arial"/>
      <w:color w:val="000000"/>
      <w:sz w:val="24"/>
      <w:szCs w:val="24"/>
    </w:rPr>
  </w:style>
  <w:style w:type="paragraph" w:styleId="NoSpacing">
    <w:name w:val="No Spacing"/>
    <w:uiPriority w:val="1"/>
    <w:qFormat/>
    <w:rsid w:val="00505D56"/>
    <w:pPr>
      <w:spacing w:after="0" w:line="240" w:lineRule="auto"/>
    </w:pPr>
  </w:style>
  <w:style w:type="character" w:customStyle="1" w:styleId="StandardParagraphChar">
    <w:name w:val="Standard Paragraph Char"/>
    <w:basedOn w:val="DefaultParagraphFont"/>
    <w:link w:val="StandardParagraph0"/>
    <w:locked/>
    <w:rsid w:val="00F85993"/>
    <w:rPr>
      <w:rFonts w:ascii="Arial" w:eastAsia="Times New Roman" w:hAnsi="Arial" w:cs="Times New Roman"/>
      <w:sz w:val="24"/>
      <w:szCs w:val="20"/>
    </w:rPr>
  </w:style>
  <w:style w:type="paragraph" w:styleId="ListParagraph">
    <w:name w:val="List Paragraph"/>
    <w:basedOn w:val="Normal"/>
    <w:uiPriority w:val="34"/>
    <w:qFormat/>
    <w:rsid w:val="00914004"/>
    <w:pPr>
      <w:ind w:left="720"/>
      <w:contextualSpacing/>
    </w:pPr>
  </w:style>
  <w:style w:type="paragraph" w:customStyle="1" w:styleId="StandardParagrpah">
    <w:name w:val="Standard Paragrpah"/>
    <w:basedOn w:val="Normal"/>
    <w:qFormat/>
    <w:rsid w:val="00914004"/>
    <w:pPr>
      <w:spacing w:after="240" w:line="360" w:lineRule="auto"/>
    </w:pPr>
    <w:rPr>
      <w:rFonts w:ascii="Arial" w:hAnsi="Arial" w:cs="Arial"/>
      <w:sz w:val="24"/>
    </w:rPr>
  </w:style>
  <w:style w:type="character" w:styleId="Hyperlink">
    <w:name w:val="Hyperlink"/>
    <w:basedOn w:val="DefaultParagraphFont"/>
    <w:uiPriority w:val="99"/>
    <w:semiHidden/>
    <w:unhideWhenUsed/>
    <w:rsid w:val="00B94BED"/>
    <w:rPr>
      <w:color w:val="0000FF"/>
      <w:u w:val="single"/>
    </w:rPr>
  </w:style>
  <w:style w:type="paragraph" w:customStyle="1" w:styleId="AppendixTitle">
    <w:name w:val="Appendix Title"/>
    <w:basedOn w:val="FrontPageTitle"/>
    <w:qFormat/>
    <w:rsid w:val="00DE157D"/>
    <w:rPr>
      <w:color w:val="000000" w:themeColor="text1"/>
      <w:sz w:val="48"/>
    </w:rPr>
  </w:style>
  <w:style w:type="paragraph" w:styleId="Title">
    <w:name w:val="Title"/>
    <w:basedOn w:val="Normal"/>
    <w:next w:val="Normal"/>
    <w:link w:val="TitleChar"/>
    <w:uiPriority w:val="10"/>
    <w:qFormat/>
    <w:rsid w:val="003C04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04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C04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0458"/>
    <w:rPr>
      <w:rFonts w:asciiTheme="majorHAnsi" w:eastAsiaTheme="majorEastAsia" w:hAnsiTheme="majorHAnsi" w:cstheme="majorBidi"/>
      <w:i/>
      <w:iCs/>
      <w:color w:val="4F81BD" w:themeColor="accent1"/>
      <w:spacing w:val="15"/>
      <w:sz w:val="24"/>
      <w:szCs w:val="24"/>
    </w:rPr>
  </w:style>
  <w:style w:type="paragraph" w:customStyle="1" w:styleId="Standardparagraphheading">
    <w:name w:val="Standard paragraph heading"/>
    <w:basedOn w:val="Standardparagraph"/>
    <w:next w:val="Standardparagraph"/>
    <w:qFormat/>
    <w:rsid w:val="003C0458"/>
    <w:rPr>
      <w:b/>
      <w:sz w:val="32"/>
    </w:rPr>
  </w:style>
  <w:style w:type="character" w:styleId="CommentReference">
    <w:name w:val="annotation reference"/>
    <w:basedOn w:val="DefaultParagraphFont"/>
    <w:uiPriority w:val="99"/>
    <w:semiHidden/>
    <w:unhideWhenUsed/>
    <w:rsid w:val="00754B87"/>
    <w:rPr>
      <w:sz w:val="16"/>
      <w:szCs w:val="16"/>
    </w:rPr>
  </w:style>
  <w:style w:type="paragraph" w:styleId="CommentText">
    <w:name w:val="annotation text"/>
    <w:basedOn w:val="Normal"/>
    <w:link w:val="CommentTextChar"/>
    <w:uiPriority w:val="99"/>
    <w:semiHidden/>
    <w:unhideWhenUsed/>
    <w:rsid w:val="00754B87"/>
    <w:pPr>
      <w:spacing w:line="240" w:lineRule="auto"/>
    </w:pPr>
    <w:rPr>
      <w:sz w:val="20"/>
      <w:szCs w:val="20"/>
    </w:rPr>
  </w:style>
  <w:style w:type="character" w:customStyle="1" w:styleId="CommentTextChar">
    <w:name w:val="Comment Text Char"/>
    <w:basedOn w:val="DefaultParagraphFont"/>
    <w:link w:val="CommentText"/>
    <w:uiPriority w:val="99"/>
    <w:semiHidden/>
    <w:rsid w:val="00754B87"/>
    <w:rPr>
      <w:sz w:val="20"/>
      <w:szCs w:val="20"/>
    </w:rPr>
  </w:style>
  <w:style w:type="paragraph" w:styleId="CommentSubject">
    <w:name w:val="annotation subject"/>
    <w:basedOn w:val="CommentText"/>
    <w:next w:val="CommentText"/>
    <w:link w:val="CommentSubjectChar"/>
    <w:uiPriority w:val="99"/>
    <w:semiHidden/>
    <w:unhideWhenUsed/>
    <w:rsid w:val="00754B87"/>
    <w:rPr>
      <w:b/>
      <w:bCs/>
    </w:rPr>
  </w:style>
  <w:style w:type="character" w:customStyle="1" w:styleId="CommentSubjectChar">
    <w:name w:val="Comment Subject Char"/>
    <w:basedOn w:val="CommentTextChar"/>
    <w:link w:val="CommentSubject"/>
    <w:uiPriority w:val="99"/>
    <w:semiHidden/>
    <w:rsid w:val="00754B87"/>
    <w:rPr>
      <w:b/>
      <w:bCs/>
      <w:sz w:val="20"/>
      <w:szCs w:val="20"/>
    </w:rPr>
  </w:style>
  <w:style w:type="paragraph" w:customStyle="1" w:styleId="Standardsubbullet">
    <w:name w:val="Standard sub bullet"/>
    <w:basedOn w:val="Standardparagraph"/>
    <w:qFormat/>
    <w:rsid w:val="00783CEA"/>
    <w:pPr>
      <w:numPr>
        <w:numId w:val="11"/>
      </w:numPr>
      <w:spacing w:after="120" w:line="288" w:lineRule="auto"/>
      <w:ind w:left="1417" w:hanging="357"/>
    </w:pPr>
  </w:style>
  <w:style w:type="paragraph" w:customStyle="1" w:styleId="StandardBullet0">
    <w:name w:val="Standard Bullet"/>
    <w:basedOn w:val="Normal"/>
    <w:qFormat/>
    <w:rsid w:val="007A152E"/>
    <w:pPr>
      <w:widowControl w:val="0"/>
      <w:numPr>
        <w:numId w:val="12"/>
      </w:numPr>
      <w:tabs>
        <w:tab w:val="left" w:pos="1440"/>
        <w:tab w:val="left" w:pos="2160"/>
        <w:tab w:val="left" w:pos="2880"/>
        <w:tab w:val="left" w:pos="4680"/>
        <w:tab w:val="left" w:pos="5400"/>
        <w:tab w:val="right" w:pos="8460"/>
        <w:tab w:val="right" w:pos="8820"/>
      </w:tabs>
      <w:adjustRightInd w:val="0"/>
      <w:spacing w:after="240" w:line="360" w:lineRule="auto"/>
      <w:ind w:right="204"/>
      <w:textAlignment w:val="baseline"/>
    </w:pPr>
    <w:rPr>
      <w:rFonts w:ascii="Arial" w:eastAsia="Times New Roman" w:hAnsi="Arial" w:cs="Times New Roman"/>
      <w:sz w:val="24"/>
      <w:szCs w:val="20"/>
    </w:rPr>
  </w:style>
  <w:style w:type="character" w:styleId="Strong">
    <w:name w:val="Strong"/>
    <w:basedOn w:val="DefaultParagraphFont"/>
    <w:qFormat/>
    <w:rsid w:val="00C706C1"/>
    <w:rPr>
      <w:b/>
      <w:bCs/>
    </w:rPr>
  </w:style>
</w:styles>
</file>

<file path=word/webSettings.xml><?xml version="1.0" encoding="utf-8"?>
<w:webSettings xmlns:r="http://schemas.openxmlformats.org/officeDocument/2006/relationships" xmlns:w="http://schemas.openxmlformats.org/wordprocessingml/2006/main">
  <w:divs>
    <w:div w:id="32849228">
      <w:bodyDiv w:val="1"/>
      <w:marLeft w:val="0"/>
      <w:marRight w:val="0"/>
      <w:marTop w:val="0"/>
      <w:marBottom w:val="0"/>
      <w:divBdr>
        <w:top w:val="none" w:sz="0" w:space="0" w:color="auto"/>
        <w:left w:val="none" w:sz="0" w:space="0" w:color="auto"/>
        <w:bottom w:val="none" w:sz="0" w:space="0" w:color="auto"/>
        <w:right w:val="none" w:sz="0" w:space="0" w:color="auto"/>
      </w:divBdr>
    </w:div>
    <w:div w:id="560403999">
      <w:bodyDiv w:val="1"/>
      <w:marLeft w:val="0"/>
      <w:marRight w:val="0"/>
      <w:marTop w:val="0"/>
      <w:marBottom w:val="0"/>
      <w:divBdr>
        <w:top w:val="none" w:sz="0" w:space="0" w:color="auto"/>
        <w:left w:val="none" w:sz="0" w:space="0" w:color="auto"/>
        <w:bottom w:val="none" w:sz="0" w:space="0" w:color="auto"/>
        <w:right w:val="none" w:sz="0" w:space="0" w:color="auto"/>
      </w:divBdr>
    </w:div>
    <w:div w:id="1884249327">
      <w:bodyDiv w:val="1"/>
      <w:marLeft w:val="0"/>
      <w:marRight w:val="0"/>
      <w:marTop w:val="0"/>
      <w:marBottom w:val="0"/>
      <w:divBdr>
        <w:top w:val="none" w:sz="0" w:space="0" w:color="auto"/>
        <w:left w:val="none" w:sz="0" w:space="0" w:color="auto"/>
        <w:bottom w:val="none" w:sz="0" w:space="0" w:color="auto"/>
        <w:right w:val="none" w:sz="0" w:space="0" w:color="auto"/>
      </w:divBdr>
    </w:div>
    <w:div w:id="21077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microsoft.com/office/2007/relationships/diagramDrawing" Target="diagrams/drawing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5.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E2EE0-7BC8-41A1-9B1A-7BD62E4C6B8A}" type="doc">
      <dgm:prSet loTypeId="urn:microsoft.com/office/officeart/2005/8/layout/cycle5" loCatId="cycle" qsTypeId="urn:microsoft.com/office/officeart/2005/8/quickstyle/simple5" qsCatId="simple" csTypeId="urn:microsoft.com/office/officeart/2005/8/colors/accent1_2" csCatId="accent1" phldr="1"/>
      <dgm:spPr/>
      <dgm:t>
        <a:bodyPr/>
        <a:lstStyle/>
        <a:p>
          <a:endParaRPr lang="en-GB"/>
        </a:p>
      </dgm:t>
    </dgm:pt>
    <dgm:pt modelId="{1310FD8A-6435-4A40-9320-FBBBBC2BA910}">
      <dgm:prSet phldrT="[Text]" custT="1"/>
      <dgm:spPr>
        <a:xfrm>
          <a:off x="2171923" y="1764"/>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spcAft>
              <a:spcPts val="504"/>
            </a:spcAft>
          </a:pPr>
          <a:r>
            <a:rPr lang="en-GB" sz="1200">
              <a:solidFill>
                <a:sysClr val="window" lastClr="FFFFFF"/>
              </a:solidFill>
              <a:latin typeface="Calibri"/>
              <a:ea typeface="+mn-ea"/>
              <a:cs typeface="+mn-cs"/>
            </a:rPr>
            <a:t>1. Planning</a:t>
          </a:r>
        </a:p>
        <a:p>
          <a:pPr>
            <a:spcAft>
              <a:spcPct val="35000"/>
            </a:spcAft>
          </a:pPr>
          <a:r>
            <a:rPr lang="en-GB" sz="1200">
              <a:solidFill>
                <a:sysClr val="window" lastClr="FFFFFF"/>
              </a:solidFill>
              <a:latin typeface="Calibri"/>
              <a:ea typeface="+mn-ea"/>
              <a:cs typeface="+mn-cs"/>
            </a:rPr>
            <a:t> </a:t>
          </a:r>
          <a:r>
            <a:rPr lang="en-GB" sz="900">
              <a:solidFill>
                <a:sysClr val="window" lastClr="FFFFFF"/>
              </a:solidFill>
              <a:latin typeface="Calibri"/>
              <a:ea typeface="+mn-ea"/>
              <a:cs typeface="+mn-cs"/>
            </a:rPr>
            <a:t>How will it be carried out?</a:t>
          </a:r>
        </a:p>
      </dgm:t>
    </dgm:pt>
    <dgm:pt modelId="{6239A844-4F0A-4604-B081-D8E725DB0FF1}" type="parTrans" cxnId="{5EF54B41-4092-43D7-8838-B6A6BFA1DF07}">
      <dgm:prSet/>
      <dgm:spPr/>
      <dgm:t>
        <a:bodyPr/>
        <a:lstStyle/>
        <a:p>
          <a:endParaRPr lang="en-GB"/>
        </a:p>
      </dgm:t>
    </dgm:pt>
    <dgm:pt modelId="{CC0A3179-B9F2-4326-8954-8BAC2242B997}" type="sibTrans" cxnId="{5EF54B41-4092-43D7-8838-B6A6BFA1DF07}">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B4B36D1C-4BEB-45DD-9F17-C221ECFFB14E}">
      <dgm:prSet phldrT="[Text]" custT="1"/>
      <dgm:spPr>
        <a:xfrm>
          <a:off x="3399029" y="1228870"/>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2. Monitoring</a:t>
          </a:r>
        </a:p>
        <a:p>
          <a:r>
            <a:rPr lang="en-GB" sz="900">
              <a:solidFill>
                <a:sysClr val="window" lastClr="FFFFFF"/>
              </a:solidFill>
              <a:latin typeface="Calibri"/>
              <a:ea typeface="+mn-ea"/>
              <a:cs typeface="+mn-cs"/>
            </a:rPr>
            <a:t>How well is the project progressing?</a:t>
          </a:r>
        </a:p>
      </dgm:t>
    </dgm:pt>
    <dgm:pt modelId="{D8A87AE1-EAAA-484F-8513-6CD5D2CC13D4}" type="parTrans" cxnId="{55CAF9EA-1235-49FF-9E6F-219DB1B22619}">
      <dgm:prSet/>
      <dgm:spPr/>
      <dgm:t>
        <a:bodyPr/>
        <a:lstStyle/>
        <a:p>
          <a:endParaRPr lang="en-GB"/>
        </a:p>
      </dgm:t>
    </dgm:pt>
    <dgm:pt modelId="{065C2D7B-FA90-4BA7-9A91-D5F6F0BD04EC}" type="sibTrans" cxnId="{55CAF9EA-1235-49FF-9E6F-219DB1B22619}">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73883ADA-C312-497C-8B34-1758BB6023EE}">
      <dgm:prSet phldrT="[Text]" custT="1"/>
      <dgm:spPr>
        <a:xfrm>
          <a:off x="2171923" y="2455976"/>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3. Evaluation</a:t>
          </a:r>
        </a:p>
        <a:p>
          <a:r>
            <a:rPr lang="en-GB" sz="900">
              <a:solidFill>
                <a:sysClr val="window" lastClr="FFFFFF"/>
              </a:solidFill>
              <a:latin typeface="Calibri"/>
              <a:ea typeface="+mn-ea"/>
              <a:cs typeface="+mn-cs"/>
            </a:rPr>
            <a:t>Was the project a success?</a:t>
          </a:r>
        </a:p>
      </dgm:t>
    </dgm:pt>
    <dgm:pt modelId="{53490E95-CE00-44F3-AE99-102919A3E2B3}" type="parTrans" cxnId="{0D9DB0FE-F807-4BE7-8A64-CDE4F5282920}">
      <dgm:prSet/>
      <dgm:spPr/>
      <dgm:t>
        <a:bodyPr/>
        <a:lstStyle/>
        <a:p>
          <a:endParaRPr lang="en-GB"/>
        </a:p>
      </dgm:t>
    </dgm:pt>
    <dgm:pt modelId="{70270AE5-4746-4767-8BD9-B97514E368AF}" type="sibTrans" cxnId="{0D9DB0FE-F807-4BE7-8A64-CDE4F5282920}">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E23F3E88-576D-42DA-B896-8EE05C13447D}">
      <dgm:prSet phldrT="[Text]" custT="1"/>
      <dgm:spPr>
        <a:xfrm>
          <a:off x="944817" y="1228870"/>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4. Learning</a:t>
          </a:r>
        </a:p>
        <a:p>
          <a:r>
            <a:rPr lang="en-GB" sz="900">
              <a:solidFill>
                <a:sysClr val="window" lastClr="FFFFFF"/>
              </a:solidFill>
              <a:latin typeface="Calibri"/>
              <a:ea typeface="+mn-ea"/>
              <a:cs typeface="+mn-cs"/>
            </a:rPr>
            <a:t>What lessons can be learnt?</a:t>
          </a:r>
        </a:p>
      </dgm:t>
    </dgm:pt>
    <dgm:pt modelId="{2934CD4B-078E-4623-BDE7-1484DBD10389}" type="parTrans" cxnId="{6C9E58F0-C9CA-467F-9E69-B2D279854A48}">
      <dgm:prSet/>
      <dgm:spPr/>
      <dgm:t>
        <a:bodyPr/>
        <a:lstStyle/>
        <a:p>
          <a:endParaRPr lang="en-GB"/>
        </a:p>
      </dgm:t>
    </dgm:pt>
    <dgm:pt modelId="{F8C6129D-C397-4BCF-9B89-59144F3D16FF}" type="sibTrans" cxnId="{6C9E58F0-C9CA-467F-9E69-B2D279854A48}">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BE2F6492-ECF3-420A-BA7E-E032F7E335F3}" type="pres">
      <dgm:prSet presAssocID="{793E2EE0-7BC8-41A1-9B1A-7BD62E4C6B8A}" presName="cycle" presStyleCnt="0">
        <dgm:presLayoutVars>
          <dgm:dir/>
          <dgm:resizeHandles val="exact"/>
        </dgm:presLayoutVars>
      </dgm:prSet>
      <dgm:spPr/>
      <dgm:t>
        <a:bodyPr/>
        <a:lstStyle/>
        <a:p>
          <a:endParaRPr lang="en-GB"/>
        </a:p>
      </dgm:t>
    </dgm:pt>
    <dgm:pt modelId="{5943056A-C34E-4343-A6CD-6B50407C765B}" type="pres">
      <dgm:prSet presAssocID="{1310FD8A-6435-4A40-9320-FBBBBC2BA910}" presName="node" presStyleLbl="node1" presStyleIdx="0" presStyleCnt="4">
        <dgm:presLayoutVars>
          <dgm:bulletEnabled val="1"/>
        </dgm:presLayoutVars>
      </dgm:prSet>
      <dgm:spPr>
        <a:prstGeom prst="roundRect">
          <a:avLst/>
        </a:prstGeom>
      </dgm:spPr>
      <dgm:t>
        <a:bodyPr/>
        <a:lstStyle/>
        <a:p>
          <a:endParaRPr lang="en-GB"/>
        </a:p>
      </dgm:t>
    </dgm:pt>
    <dgm:pt modelId="{33BE2668-980B-4172-B15B-5FB52EF1A8D2}" type="pres">
      <dgm:prSet presAssocID="{1310FD8A-6435-4A40-9320-FBBBBC2BA910}" presName="spNode" presStyleCnt="0"/>
      <dgm:spPr/>
      <dgm:t>
        <a:bodyPr/>
        <a:lstStyle/>
        <a:p>
          <a:endParaRPr lang="en-GB"/>
        </a:p>
      </dgm:t>
    </dgm:pt>
    <dgm:pt modelId="{061761AF-E5E3-4B67-B408-01435AB5096E}" type="pres">
      <dgm:prSet presAssocID="{CC0A3179-B9F2-4326-8954-8BAC2242B997}" presName="sibTrans" presStyleLbl="sibTrans1D1" presStyleIdx="0" presStyleCnt="4"/>
      <dgm:spPr>
        <a:custGeom>
          <a:avLst/>
          <a:gdLst/>
          <a:ahLst/>
          <a:cxnLst/>
          <a:rect l="0" t="0" r="0" b="0"/>
          <a:pathLst>
            <a:path>
              <a:moveTo>
                <a:pt x="1956148" y="240046"/>
              </a:moveTo>
              <a:arcTo wR="1227106" hR="1227106" stAng="18386976" swAng="1633936"/>
            </a:path>
          </a:pathLst>
        </a:custGeom>
      </dgm:spPr>
      <dgm:t>
        <a:bodyPr/>
        <a:lstStyle/>
        <a:p>
          <a:endParaRPr lang="en-GB"/>
        </a:p>
      </dgm:t>
    </dgm:pt>
    <dgm:pt modelId="{DF17EB3F-66E5-4DD8-AE8B-3077D86EEF49}" type="pres">
      <dgm:prSet presAssocID="{B4B36D1C-4BEB-45DD-9F17-C221ECFFB14E}" presName="node" presStyleLbl="node1" presStyleIdx="1" presStyleCnt="4">
        <dgm:presLayoutVars>
          <dgm:bulletEnabled val="1"/>
        </dgm:presLayoutVars>
      </dgm:prSet>
      <dgm:spPr>
        <a:prstGeom prst="roundRect">
          <a:avLst/>
        </a:prstGeom>
      </dgm:spPr>
      <dgm:t>
        <a:bodyPr/>
        <a:lstStyle/>
        <a:p>
          <a:endParaRPr lang="en-GB"/>
        </a:p>
      </dgm:t>
    </dgm:pt>
    <dgm:pt modelId="{D8F594EA-F213-44C6-92D1-EE22382F696E}" type="pres">
      <dgm:prSet presAssocID="{B4B36D1C-4BEB-45DD-9F17-C221ECFFB14E}" presName="spNode" presStyleCnt="0"/>
      <dgm:spPr/>
      <dgm:t>
        <a:bodyPr/>
        <a:lstStyle/>
        <a:p>
          <a:endParaRPr lang="en-GB"/>
        </a:p>
      </dgm:t>
    </dgm:pt>
    <dgm:pt modelId="{55CF8FAB-CE67-4315-BE9B-C70759D6F704}" type="pres">
      <dgm:prSet presAssocID="{065C2D7B-FA90-4BA7-9A91-D5F6F0BD04EC}" presName="sibTrans" presStyleLbl="sibTrans1D1" presStyleIdx="1" presStyleCnt="4"/>
      <dgm:spPr>
        <a:custGeom>
          <a:avLst/>
          <a:gdLst/>
          <a:ahLst/>
          <a:cxnLst/>
          <a:rect l="0" t="0" r="0" b="0"/>
          <a:pathLst>
            <a:path>
              <a:moveTo>
                <a:pt x="2327017" y="1771149"/>
              </a:moveTo>
              <a:arcTo wR="1227106" hR="1227106" stAng="1579087" swAng="1633936"/>
            </a:path>
          </a:pathLst>
        </a:custGeom>
      </dgm:spPr>
      <dgm:t>
        <a:bodyPr/>
        <a:lstStyle/>
        <a:p>
          <a:endParaRPr lang="en-GB"/>
        </a:p>
      </dgm:t>
    </dgm:pt>
    <dgm:pt modelId="{C2BECAAA-3D25-4619-8493-0AD153813430}" type="pres">
      <dgm:prSet presAssocID="{73883ADA-C312-497C-8B34-1758BB6023EE}" presName="node" presStyleLbl="node1" presStyleIdx="2" presStyleCnt="4">
        <dgm:presLayoutVars>
          <dgm:bulletEnabled val="1"/>
        </dgm:presLayoutVars>
      </dgm:prSet>
      <dgm:spPr>
        <a:prstGeom prst="roundRect">
          <a:avLst/>
        </a:prstGeom>
      </dgm:spPr>
      <dgm:t>
        <a:bodyPr/>
        <a:lstStyle/>
        <a:p>
          <a:endParaRPr lang="en-GB"/>
        </a:p>
      </dgm:t>
    </dgm:pt>
    <dgm:pt modelId="{66C91255-2217-482C-BD3B-B9B3F7EC2328}" type="pres">
      <dgm:prSet presAssocID="{73883ADA-C312-497C-8B34-1758BB6023EE}" presName="spNode" presStyleCnt="0"/>
      <dgm:spPr/>
      <dgm:t>
        <a:bodyPr/>
        <a:lstStyle/>
        <a:p>
          <a:endParaRPr lang="en-GB"/>
        </a:p>
      </dgm:t>
    </dgm:pt>
    <dgm:pt modelId="{139B93D7-2801-4907-8FE0-45B0ABA196A5}" type="pres">
      <dgm:prSet presAssocID="{70270AE5-4746-4767-8BD9-B97514E368AF}" presName="sibTrans" presStyleLbl="sibTrans1D1" presStyleIdx="2" presStyleCnt="4"/>
      <dgm:spPr>
        <a:custGeom>
          <a:avLst/>
          <a:gdLst/>
          <a:ahLst/>
          <a:cxnLst/>
          <a:rect l="0" t="0" r="0" b="0"/>
          <a:pathLst>
            <a:path>
              <a:moveTo>
                <a:pt x="498063" y="2214165"/>
              </a:moveTo>
              <a:arcTo wR="1227106" hR="1227106" stAng="7586976" swAng="1633936"/>
            </a:path>
          </a:pathLst>
        </a:custGeom>
      </dgm:spPr>
      <dgm:t>
        <a:bodyPr/>
        <a:lstStyle/>
        <a:p>
          <a:endParaRPr lang="en-GB"/>
        </a:p>
      </dgm:t>
    </dgm:pt>
    <dgm:pt modelId="{7D20DD11-71F1-499E-96BB-DE5D14CFC10A}" type="pres">
      <dgm:prSet presAssocID="{E23F3E88-576D-42DA-B896-8EE05C13447D}" presName="node" presStyleLbl="node1" presStyleIdx="3" presStyleCnt="4">
        <dgm:presLayoutVars>
          <dgm:bulletEnabled val="1"/>
        </dgm:presLayoutVars>
      </dgm:prSet>
      <dgm:spPr>
        <a:prstGeom prst="roundRect">
          <a:avLst/>
        </a:prstGeom>
      </dgm:spPr>
      <dgm:t>
        <a:bodyPr/>
        <a:lstStyle/>
        <a:p>
          <a:endParaRPr lang="en-GB"/>
        </a:p>
      </dgm:t>
    </dgm:pt>
    <dgm:pt modelId="{E3D75C42-4284-4C09-BED3-92EC953DDC32}" type="pres">
      <dgm:prSet presAssocID="{E23F3E88-576D-42DA-B896-8EE05C13447D}" presName="spNode" presStyleCnt="0"/>
      <dgm:spPr/>
      <dgm:t>
        <a:bodyPr/>
        <a:lstStyle/>
        <a:p>
          <a:endParaRPr lang="en-GB"/>
        </a:p>
      </dgm:t>
    </dgm:pt>
    <dgm:pt modelId="{2B71B88F-E712-4EA1-A129-8CFE33A7B65C}" type="pres">
      <dgm:prSet presAssocID="{F8C6129D-C397-4BCF-9B89-59144F3D16FF}" presName="sibTrans" presStyleLbl="sibTrans1D1" presStyleIdx="3" presStyleCnt="4"/>
      <dgm:spPr>
        <a:custGeom>
          <a:avLst/>
          <a:gdLst/>
          <a:ahLst/>
          <a:cxnLst/>
          <a:rect l="0" t="0" r="0" b="0"/>
          <a:pathLst>
            <a:path>
              <a:moveTo>
                <a:pt x="127194" y="683062"/>
              </a:moveTo>
              <a:arcTo wR="1227106" hR="1227106" stAng="12379087" swAng="1633936"/>
            </a:path>
          </a:pathLst>
        </a:custGeom>
      </dgm:spPr>
      <dgm:t>
        <a:bodyPr/>
        <a:lstStyle/>
        <a:p>
          <a:endParaRPr lang="en-GB"/>
        </a:p>
      </dgm:t>
    </dgm:pt>
  </dgm:ptLst>
  <dgm:cxnLst>
    <dgm:cxn modelId="{12422184-29E9-40D8-A00B-77A0567B28E2}" type="presOf" srcId="{70270AE5-4746-4767-8BD9-B97514E368AF}" destId="{139B93D7-2801-4907-8FE0-45B0ABA196A5}" srcOrd="0" destOrd="0" presId="urn:microsoft.com/office/officeart/2005/8/layout/cycle5"/>
    <dgm:cxn modelId="{88E5D72A-C630-495F-85A5-DB388295D934}" type="presOf" srcId="{065C2D7B-FA90-4BA7-9A91-D5F6F0BD04EC}" destId="{55CF8FAB-CE67-4315-BE9B-C70759D6F704}" srcOrd="0" destOrd="0" presId="urn:microsoft.com/office/officeart/2005/8/layout/cycle5"/>
    <dgm:cxn modelId="{9ABA66C3-341D-433A-A822-E5E76CA6DA20}" type="presOf" srcId="{CC0A3179-B9F2-4326-8954-8BAC2242B997}" destId="{061761AF-E5E3-4B67-B408-01435AB5096E}" srcOrd="0" destOrd="0" presId="urn:microsoft.com/office/officeart/2005/8/layout/cycle5"/>
    <dgm:cxn modelId="{E68EE360-C9A1-4785-88E1-0032EE9B312D}" type="presOf" srcId="{73883ADA-C312-497C-8B34-1758BB6023EE}" destId="{C2BECAAA-3D25-4619-8493-0AD153813430}" srcOrd="0" destOrd="0" presId="urn:microsoft.com/office/officeart/2005/8/layout/cycle5"/>
    <dgm:cxn modelId="{9092DDAB-C322-480D-8D0A-F9051E85657A}" type="presOf" srcId="{1310FD8A-6435-4A40-9320-FBBBBC2BA910}" destId="{5943056A-C34E-4343-A6CD-6B50407C765B}" srcOrd="0" destOrd="0" presId="urn:microsoft.com/office/officeart/2005/8/layout/cycle5"/>
    <dgm:cxn modelId="{55CAF9EA-1235-49FF-9E6F-219DB1B22619}" srcId="{793E2EE0-7BC8-41A1-9B1A-7BD62E4C6B8A}" destId="{B4B36D1C-4BEB-45DD-9F17-C221ECFFB14E}" srcOrd="1" destOrd="0" parTransId="{D8A87AE1-EAAA-484F-8513-6CD5D2CC13D4}" sibTransId="{065C2D7B-FA90-4BA7-9A91-D5F6F0BD04EC}"/>
    <dgm:cxn modelId="{6C9E58F0-C9CA-467F-9E69-B2D279854A48}" srcId="{793E2EE0-7BC8-41A1-9B1A-7BD62E4C6B8A}" destId="{E23F3E88-576D-42DA-B896-8EE05C13447D}" srcOrd="3" destOrd="0" parTransId="{2934CD4B-078E-4623-BDE7-1484DBD10389}" sibTransId="{F8C6129D-C397-4BCF-9B89-59144F3D16FF}"/>
    <dgm:cxn modelId="{1D6BF28D-3226-4AE0-A821-154944FE619A}" type="presOf" srcId="{E23F3E88-576D-42DA-B896-8EE05C13447D}" destId="{7D20DD11-71F1-499E-96BB-DE5D14CFC10A}" srcOrd="0" destOrd="0" presId="urn:microsoft.com/office/officeart/2005/8/layout/cycle5"/>
    <dgm:cxn modelId="{EB305418-CF58-4181-9DC1-659E6F8EF23B}" type="presOf" srcId="{F8C6129D-C397-4BCF-9B89-59144F3D16FF}" destId="{2B71B88F-E712-4EA1-A129-8CFE33A7B65C}" srcOrd="0" destOrd="0" presId="urn:microsoft.com/office/officeart/2005/8/layout/cycle5"/>
    <dgm:cxn modelId="{0D9DB0FE-F807-4BE7-8A64-CDE4F5282920}" srcId="{793E2EE0-7BC8-41A1-9B1A-7BD62E4C6B8A}" destId="{73883ADA-C312-497C-8B34-1758BB6023EE}" srcOrd="2" destOrd="0" parTransId="{53490E95-CE00-44F3-AE99-102919A3E2B3}" sibTransId="{70270AE5-4746-4767-8BD9-B97514E368AF}"/>
    <dgm:cxn modelId="{5EF54B41-4092-43D7-8838-B6A6BFA1DF07}" srcId="{793E2EE0-7BC8-41A1-9B1A-7BD62E4C6B8A}" destId="{1310FD8A-6435-4A40-9320-FBBBBC2BA910}" srcOrd="0" destOrd="0" parTransId="{6239A844-4F0A-4604-B081-D8E725DB0FF1}" sibTransId="{CC0A3179-B9F2-4326-8954-8BAC2242B997}"/>
    <dgm:cxn modelId="{DD4AF0BC-70B2-4B63-923E-2F55815FBF7A}" type="presOf" srcId="{B4B36D1C-4BEB-45DD-9F17-C221ECFFB14E}" destId="{DF17EB3F-66E5-4DD8-AE8B-3077D86EEF49}" srcOrd="0" destOrd="0" presId="urn:microsoft.com/office/officeart/2005/8/layout/cycle5"/>
    <dgm:cxn modelId="{925868AC-72C4-4FDA-8A49-E185B2FA11BB}" type="presOf" srcId="{793E2EE0-7BC8-41A1-9B1A-7BD62E4C6B8A}" destId="{BE2F6492-ECF3-420A-BA7E-E032F7E335F3}" srcOrd="0" destOrd="0" presId="urn:microsoft.com/office/officeart/2005/8/layout/cycle5"/>
    <dgm:cxn modelId="{A6639582-FA66-4AF3-826C-C0231BF839E9}" type="presParOf" srcId="{BE2F6492-ECF3-420A-BA7E-E032F7E335F3}" destId="{5943056A-C34E-4343-A6CD-6B50407C765B}" srcOrd="0" destOrd="0" presId="urn:microsoft.com/office/officeart/2005/8/layout/cycle5"/>
    <dgm:cxn modelId="{DC54D43C-21C9-4485-931F-EA70AC09E6D3}" type="presParOf" srcId="{BE2F6492-ECF3-420A-BA7E-E032F7E335F3}" destId="{33BE2668-980B-4172-B15B-5FB52EF1A8D2}" srcOrd="1" destOrd="0" presId="urn:microsoft.com/office/officeart/2005/8/layout/cycle5"/>
    <dgm:cxn modelId="{3A5BEB70-EF5C-4E24-9F10-D0C98AE8225E}" type="presParOf" srcId="{BE2F6492-ECF3-420A-BA7E-E032F7E335F3}" destId="{061761AF-E5E3-4B67-B408-01435AB5096E}" srcOrd="2" destOrd="0" presId="urn:microsoft.com/office/officeart/2005/8/layout/cycle5"/>
    <dgm:cxn modelId="{D13A1896-CF40-40B4-84E7-61E6920D9DCF}" type="presParOf" srcId="{BE2F6492-ECF3-420A-BA7E-E032F7E335F3}" destId="{DF17EB3F-66E5-4DD8-AE8B-3077D86EEF49}" srcOrd="3" destOrd="0" presId="urn:microsoft.com/office/officeart/2005/8/layout/cycle5"/>
    <dgm:cxn modelId="{3CB959F0-C081-4CB7-8595-C24BF4CCFFFC}" type="presParOf" srcId="{BE2F6492-ECF3-420A-BA7E-E032F7E335F3}" destId="{D8F594EA-F213-44C6-92D1-EE22382F696E}" srcOrd="4" destOrd="0" presId="urn:microsoft.com/office/officeart/2005/8/layout/cycle5"/>
    <dgm:cxn modelId="{1A0CEE43-71E8-4782-8B9F-D3A480B7328F}" type="presParOf" srcId="{BE2F6492-ECF3-420A-BA7E-E032F7E335F3}" destId="{55CF8FAB-CE67-4315-BE9B-C70759D6F704}" srcOrd="5" destOrd="0" presId="urn:microsoft.com/office/officeart/2005/8/layout/cycle5"/>
    <dgm:cxn modelId="{519CDF96-0950-4DA3-8A2E-0C0C1B07007C}" type="presParOf" srcId="{BE2F6492-ECF3-420A-BA7E-E032F7E335F3}" destId="{C2BECAAA-3D25-4619-8493-0AD153813430}" srcOrd="6" destOrd="0" presId="urn:microsoft.com/office/officeart/2005/8/layout/cycle5"/>
    <dgm:cxn modelId="{5C4FEF54-2481-45C9-8C38-84F740B8003A}" type="presParOf" srcId="{BE2F6492-ECF3-420A-BA7E-E032F7E335F3}" destId="{66C91255-2217-482C-BD3B-B9B3F7EC2328}" srcOrd="7" destOrd="0" presId="urn:microsoft.com/office/officeart/2005/8/layout/cycle5"/>
    <dgm:cxn modelId="{3B2239EC-D1D1-4CBB-8BE0-27D31B8A850B}" type="presParOf" srcId="{BE2F6492-ECF3-420A-BA7E-E032F7E335F3}" destId="{139B93D7-2801-4907-8FE0-45B0ABA196A5}" srcOrd="8" destOrd="0" presId="urn:microsoft.com/office/officeart/2005/8/layout/cycle5"/>
    <dgm:cxn modelId="{8BBB0B2B-6FC1-4C44-B7CC-B0E24FDCA642}" type="presParOf" srcId="{BE2F6492-ECF3-420A-BA7E-E032F7E335F3}" destId="{7D20DD11-71F1-499E-96BB-DE5D14CFC10A}" srcOrd="9" destOrd="0" presId="urn:microsoft.com/office/officeart/2005/8/layout/cycle5"/>
    <dgm:cxn modelId="{D90210A4-3463-4ABD-AE72-9815264E2655}" type="presParOf" srcId="{BE2F6492-ECF3-420A-BA7E-E032F7E335F3}" destId="{E3D75C42-4284-4C09-BED3-92EC953DDC32}" srcOrd="10" destOrd="0" presId="urn:microsoft.com/office/officeart/2005/8/layout/cycle5"/>
    <dgm:cxn modelId="{A0513ED3-64E6-47CD-89F2-409C09A93819}" type="presParOf" srcId="{BE2F6492-ECF3-420A-BA7E-E032F7E335F3}" destId="{2B71B88F-E712-4EA1-A129-8CFE33A7B65C}" srcOrd="11" destOrd="0" presId="urn:microsoft.com/office/officeart/2005/8/layout/cycle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3E2EE0-7BC8-41A1-9B1A-7BD62E4C6B8A}" type="doc">
      <dgm:prSet loTypeId="urn:microsoft.com/office/officeart/2005/8/layout/cycle5" loCatId="cycle" qsTypeId="urn:microsoft.com/office/officeart/2005/8/quickstyle/simple5" qsCatId="simple" csTypeId="urn:microsoft.com/office/officeart/2005/8/colors/accent1_2" csCatId="accent1" phldr="1"/>
      <dgm:spPr/>
      <dgm:t>
        <a:bodyPr/>
        <a:lstStyle/>
        <a:p>
          <a:endParaRPr lang="en-GB"/>
        </a:p>
      </dgm:t>
    </dgm:pt>
    <dgm:pt modelId="{1310FD8A-6435-4A40-9320-FBBBBC2BA910}">
      <dgm:prSet phldrT="[Text]" custT="1"/>
      <dgm:spPr>
        <a:xfrm>
          <a:off x="2171923" y="1764"/>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spcAft>
              <a:spcPts val="504"/>
            </a:spcAft>
          </a:pPr>
          <a:r>
            <a:rPr lang="en-GB" sz="1200">
              <a:solidFill>
                <a:sysClr val="window" lastClr="FFFFFF"/>
              </a:solidFill>
              <a:latin typeface="Calibri"/>
              <a:ea typeface="+mn-ea"/>
              <a:cs typeface="+mn-cs"/>
            </a:rPr>
            <a:t>1. Planning</a:t>
          </a:r>
        </a:p>
        <a:p>
          <a:pPr>
            <a:spcAft>
              <a:spcPct val="35000"/>
            </a:spcAft>
          </a:pPr>
          <a:r>
            <a:rPr lang="en-GB" sz="1200">
              <a:solidFill>
                <a:sysClr val="window" lastClr="FFFFFF"/>
              </a:solidFill>
              <a:latin typeface="Calibri"/>
              <a:ea typeface="+mn-ea"/>
              <a:cs typeface="+mn-cs"/>
            </a:rPr>
            <a:t> </a:t>
          </a:r>
          <a:r>
            <a:rPr lang="en-GB" sz="900">
              <a:solidFill>
                <a:sysClr val="window" lastClr="FFFFFF"/>
              </a:solidFill>
              <a:latin typeface="Calibri"/>
              <a:ea typeface="+mn-ea"/>
              <a:cs typeface="+mn-cs"/>
            </a:rPr>
            <a:t>How will it be carried out?</a:t>
          </a:r>
        </a:p>
      </dgm:t>
    </dgm:pt>
    <dgm:pt modelId="{6239A844-4F0A-4604-B081-D8E725DB0FF1}" type="parTrans" cxnId="{5EF54B41-4092-43D7-8838-B6A6BFA1DF07}">
      <dgm:prSet/>
      <dgm:spPr/>
      <dgm:t>
        <a:bodyPr/>
        <a:lstStyle/>
        <a:p>
          <a:endParaRPr lang="en-GB"/>
        </a:p>
      </dgm:t>
    </dgm:pt>
    <dgm:pt modelId="{CC0A3179-B9F2-4326-8954-8BAC2242B997}" type="sibTrans" cxnId="{5EF54B41-4092-43D7-8838-B6A6BFA1DF07}">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B4B36D1C-4BEB-45DD-9F17-C221ECFFB14E}">
      <dgm:prSet phldrT="[Text]" custT="1"/>
      <dgm:spPr>
        <a:xfrm>
          <a:off x="3399029" y="1228870"/>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2. Monitoring</a:t>
          </a:r>
        </a:p>
        <a:p>
          <a:r>
            <a:rPr lang="en-GB" sz="900">
              <a:solidFill>
                <a:sysClr val="window" lastClr="FFFFFF"/>
              </a:solidFill>
              <a:latin typeface="Calibri"/>
              <a:ea typeface="+mn-ea"/>
              <a:cs typeface="+mn-cs"/>
            </a:rPr>
            <a:t>How well is the project progressing?</a:t>
          </a:r>
        </a:p>
      </dgm:t>
    </dgm:pt>
    <dgm:pt modelId="{D8A87AE1-EAAA-484F-8513-6CD5D2CC13D4}" type="parTrans" cxnId="{55CAF9EA-1235-49FF-9E6F-219DB1B22619}">
      <dgm:prSet/>
      <dgm:spPr/>
      <dgm:t>
        <a:bodyPr/>
        <a:lstStyle/>
        <a:p>
          <a:endParaRPr lang="en-GB"/>
        </a:p>
      </dgm:t>
    </dgm:pt>
    <dgm:pt modelId="{065C2D7B-FA90-4BA7-9A91-D5F6F0BD04EC}" type="sibTrans" cxnId="{55CAF9EA-1235-49FF-9E6F-219DB1B22619}">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73883ADA-C312-497C-8B34-1758BB6023EE}">
      <dgm:prSet phldrT="[Text]" custT="1"/>
      <dgm:spPr>
        <a:xfrm>
          <a:off x="2171923" y="2455976"/>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3. Evaluation</a:t>
          </a:r>
        </a:p>
        <a:p>
          <a:r>
            <a:rPr lang="en-GB" sz="900">
              <a:solidFill>
                <a:sysClr val="window" lastClr="FFFFFF"/>
              </a:solidFill>
              <a:latin typeface="Calibri"/>
              <a:ea typeface="+mn-ea"/>
              <a:cs typeface="+mn-cs"/>
            </a:rPr>
            <a:t>Was the project a success?</a:t>
          </a:r>
        </a:p>
      </dgm:t>
    </dgm:pt>
    <dgm:pt modelId="{53490E95-CE00-44F3-AE99-102919A3E2B3}" type="parTrans" cxnId="{0D9DB0FE-F807-4BE7-8A64-CDE4F5282920}">
      <dgm:prSet/>
      <dgm:spPr/>
      <dgm:t>
        <a:bodyPr/>
        <a:lstStyle/>
        <a:p>
          <a:endParaRPr lang="en-GB"/>
        </a:p>
      </dgm:t>
    </dgm:pt>
    <dgm:pt modelId="{70270AE5-4746-4767-8BD9-B97514E368AF}" type="sibTrans" cxnId="{0D9DB0FE-F807-4BE7-8A64-CDE4F5282920}">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E23F3E88-576D-42DA-B896-8EE05C13447D}">
      <dgm:prSet phldrT="[Text]" custT="1"/>
      <dgm:spPr>
        <a:xfrm>
          <a:off x="944817" y="1228870"/>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4. Learning</a:t>
          </a:r>
        </a:p>
        <a:p>
          <a:r>
            <a:rPr lang="en-GB" sz="900">
              <a:solidFill>
                <a:sysClr val="window" lastClr="FFFFFF"/>
              </a:solidFill>
              <a:latin typeface="Calibri"/>
              <a:ea typeface="+mn-ea"/>
              <a:cs typeface="+mn-cs"/>
            </a:rPr>
            <a:t>What lessons can be learnt?</a:t>
          </a:r>
        </a:p>
      </dgm:t>
    </dgm:pt>
    <dgm:pt modelId="{2934CD4B-078E-4623-BDE7-1484DBD10389}" type="parTrans" cxnId="{6C9E58F0-C9CA-467F-9E69-B2D279854A48}">
      <dgm:prSet/>
      <dgm:spPr/>
      <dgm:t>
        <a:bodyPr/>
        <a:lstStyle/>
        <a:p>
          <a:endParaRPr lang="en-GB"/>
        </a:p>
      </dgm:t>
    </dgm:pt>
    <dgm:pt modelId="{F8C6129D-C397-4BCF-9B89-59144F3D16FF}" type="sibTrans" cxnId="{6C9E58F0-C9CA-467F-9E69-B2D279854A48}">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BE2F6492-ECF3-420A-BA7E-E032F7E335F3}" type="pres">
      <dgm:prSet presAssocID="{793E2EE0-7BC8-41A1-9B1A-7BD62E4C6B8A}" presName="cycle" presStyleCnt="0">
        <dgm:presLayoutVars>
          <dgm:dir/>
          <dgm:resizeHandles val="exact"/>
        </dgm:presLayoutVars>
      </dgm:prSet>
      <dgm:spPr/>
      <dgm:t>
        <a:bodyPr/>
        <a:lstStyle/>
        <a:p>
          <a:endParaRPr lang="en-GB"/>
        </a:p>
      </dgm:t>
    </dgm:pt>
    <dgm:pt modelId="{5943056A-C34E-4343-A6CD-6B50407C765B}" type="pres">
      <dgm:prSet presAssocID="{1310FD8A-6435-4A40-9320-FBBBBC2BA910}" presName="node" presStyleLbl="node1" presStyleIdx="0" presStyleCnt="4">
        <dgm:presLayoutVars>
          <dgm:bulletEnabled val="1"/>
        </dgm:presLayoutVars>
      </dgm:prSet>
      <dgm:spPr>
        <a:prstGeom prst="roundRect">
          <a:avLst/>
        </a:prstGeom>
      </dgm:spPr>
      <dgm:t>
        <a:bodyPr/>
        <a:lstStyle/>
        <a:p>
          <a:endParaRPr lang="en-GB"/>
        </a:p>
      </dgm:t>
    </dgm:pt>
    <dgm:pt modelId="{33BE2668-980B-4172-B15B-5FB52EF1A8D2}" type="pres">
      <dgm:prSet presAssocID="{1310FD8A-6435-4A40-9320-FBBBBC2BA910}" presName="spNode" presStyleCnt="0"/>
      <dgm:spPr/>
      <dgm:t>
        <a:bodyPr/>
        <a:lstStyle/>
        <a:p>
          <a:endParaRPr lang="en-GB"/>
        </a:p>
      </dgm:t>
    </dgm:pt>
    <dgm:pt modelId="{061761AF-E5E3-4B67-B408-01435AB5096E}" type="pres">
      <dgm:prSet presAssocID="{CC0A3179-B9F2-4326-8954-8BAC2242B997}" presName="sibTrans" presStyleLbl="sibTrans1D1" presStyleIdx="0" presStyleCnt="4"/>
      <dgm:spPr>
        <a:custGeom>
          <a:avLst/>
          <a:gdLst/>
          <a:ahLst/>
          <a:cxnLst/>
          <a:rect l="0" t="0" r="0" b="0"/>
          <a:pathLst>
            <a:path>
              <a:moveTo>
                <a:pt x="1956148" y="240046"/>
              </a:moveTo>
              <a:arcTo wR="1227106" hR="1227106" stAng="18386976" swAng="1633936"/>
            </a:path>
          </a:pathLst>
        </a:custGeom>
      </dgm:spPr>
      <dgm:t>
        <a:bodyPr/>
        <a:lstStyle/>
        <a:p>
          <a:endParaRPr lang="en-GB"/>
        </a:p>
      </dgm:t>
    </dgm:pt>
    <dgm:pt modelId="{DF17EB3F-66E5-4DD8-AE8B-3077D86EEF49}" type="pres">
      <dgm:prSet presAssocID="{B4B36D1C-4BEB-45DD-9F17-C221ECFFB14E}" presName="node" presStyleLbl="node1" presStyleIdx="1" presStyleCnt="4">
        <dgm:presLayoutVars>
          <dgm:bulletEnabled val="1"/>
        </dgm:presLayoutVars>
      </dgm:prSet>
      <dgm:spPr>
        <a:prstGeom prst="roundRect">
          <a:avLst/>
        </a:prstGeom>
      </dgm:spPr>
      <dgm:t>
        <a:bodyPr/>
        <a:lstStyle/>
        <a:p>
          <a:endParaRPr lang="en-GB"/>
        </a:p>
      </dgm:t>
    </dgm:pt>
    <dgm:pt modelId="{D8F594EA-F213-44C6-92D1-EE22382F696E}" type="pres">
      <dgm:prSet presAssocID="{B4B36D1C-4BEB-45DD-9F17-C221ECFFB14E}" presName="spNode" presStyleCnt="0"/>
      <dgm:spPr/>
      <dgm:t>
        <a:bodyPr/>
        <a:lstStyle/>
        <a:p>
          <a:endParaRPr lang="en-GB"/>
        </a:p>
      </dgm:t>
    </dgm:pt>
    <dgm:pt modelId="{55CF8FAB-CE67-4315-BE9B-C70759D6F704}" type="pres">
      <dgm:prSet presAssocID="{065C2D7B-FA90-4BA7-9A91-D5F6F0BD04EC}" presName="sibTrans" presStyleLbl="sibTrans1D1" presStyleIdx="1" presStyleCnt="4"/>
      <dgm:spPr>
        <a:custGeom>
          <a:avLst/>
          <a:gdLst/>
          <a:ahLst/>
          <a:cxnLst/>
          <a:rect l="0" t="0" r="0" b="0"/>
          <a:pathLst>
            <a:path>
              <a:moveTo>
                <a:pt x="2327017" y="1771149"/>
              </a:moveTo>
              <a:arcTo wR="1227106" hR="1227106" stAng="1579087" swAng="1633936"/>
            </a:path>
          </a:pathLst>
        </a:custGeom>
      </dgm:spPr>
      <dgm:t>
        <a:bodyPr/>
        <a:lstStyle/>
        <a:p>
          <a:endParaRPr lang="en-GB"/>
        </a:p>
      </dgm:t>
    </dgm:pt>
    <dgm:pt modelId="{C2BECAAA-3D25-4619-8493-0AD153813430}" type="pres">
      <dgm:prSet presAssocID="{73883ADA-C312-497C-8B34-1758BB6023EE}" presName="node" presStyleLbl="node1" presStyleIdx="2" presStyleCnt="4">
        <dgm:presLayoutVars>
          <dgm:bulletEnabled val="1"/>
        </dgm:presLayoutVars>
      </dgm:prSet>
      <dgm:spPr>
        <a:prstGeom prst="roundRect">
          <a:avLst/>
        </a:prstGeom>
      </dgm:spPr>
      <dgm:t>
        <a:bodyPr/>
        <a:lstStyle/>
        <a:p>
          <a:endParaRPr lang="en-GB"/>
        </a:p>
      </dgm:t>
    </dgm:pt>
    <dgm:pt modelId="{66C91255-2217-482C-BD3B-B9B3F7EC2328}" type="pres">
      <dgm:prSet presAssocID="{73883ADA-C312-497C-8B34-1758BB6023EE}" presName="spNode" presStyleCnt="0"/>
      <dgm:spPr/>
      <dgm:t>
        <a:bodyPr/>
        <a:lstStyle/>
        <a:p>
          <a:endParaRPr lang="en-GB"/>
        </a:p>
      </dgm:t>
    </dgm:pt>
    <dgm:pt modelId="{139B93D7-2801-4907-8FE0-45B0ABA196A5}" type="pres">
      <dgm:prSet presAssocID="{70270AE5-4746-4767-8BD9-B97514E368AF}" presName="sibTrans" presStyleLbl="sibTrans1D1" presStyleIdx="2" presStyleCnt="4"/>
      <dgm:spPr>
        <a:custGeom>
          <a:avLst/>
          <a:gdLst/>
          <a:ahLst/>
          <a:cxnLst/>
          <a:rect l="0" t="0" r="0" b="0"/>
          <a:pathLst>
            <a:path>
              <a:moveTo>
                <a:pt x="498063" y="2214165"/>
              </a:moveTo>
              <a:arcTo wR="1227106" hR="1227106" stAng="7586976" swAng="1633936"/>
            </a:path>
          </a:pathLst>
        </a:custGeom>
      </dgm:spPr>
      <dgm:t>
        <a:bodyPr/>
        <a:lstStyle/>
        <a:p>
          <a:endParaRPr lang="en-GB"/>
        </a:p>
      </dgm:t>
    </dgm:pt>
    <dgm:pt modelId="{7D20DD11-71F1-499E-96BB-DE5D14CFC10A}" type="pres">
      <dgm:prSet presAssocID="{E23F3E88-576D-42DA-B896-8EE05C13447D}" presName="node" presStyleLbl="node1" presStyleIdx="3" presStyleCnt="4">
        <dgm:presLayoutVars>
          <dgm:bulletEnabled val="1"/>
        </dgm:presLayoutVars>
      </dgm:prSet>
      <dgm:spPr>
        <a:prstGeom prst="roundRect">
          <a:avLst/>
        </a:prstGeom>
      </dgm:spPr>
      <dgm:t>
        <a:bodyPr/>
        <a:lstStyle/>
        <a:p>
          <a:endParaRPr lang="en-GB"/>
        </a:p>
      </dgm:t>
    </dgm:pt>
    <dgm:pt modelId="{E3D75C42-4284-4C09-BED3-92EC953DDC32}" type="pres">
      <dgm:prSet presAssocID="{E23F3E88-576D-42DA-B896-8EE05C13447D}" presName="spNode" presStyleCnt="0"/>
      <dgm:spPr/>
      <dgm:t>
        <a:bodyPr/>
        <a:lstStyle/>
        <a:p>
          <a:endParaRPr lang="en-GB"/>
        </a:p>
      </dgm:t>
    </dgm:pt>
    <dgm:pt modelId="{2B71B88F-E712-4EA1-A129-8CFE33A7B65C}" type="pres">
      <dgm:prSet presAssocID="{F8C6129D-C397-4BCF-9B89-59144F3D16FF}" presName="sibTrans" presStyleLbl="sibTrans1D1" presStyleIdx="3" presStyleCnt="4"/>
      <dgm:spPr>
        <a:custGeom>
          <a:avLst/>
          <a:gdLst/>
          <a:ahLst/>
          <a:cxnLst/>
          <a:rect l="0" t="0" r="0" b="0"/>
          <a:pathLst>
            <a:path>
              <a:moveTo>
                <a:pt x="127194" y="683062"/>
              </a:moveTo>
              <a:arcTo wR="1227106" hR="1227106" stAng="12379087" swAng="1633936"/>
            </a:path>
          </a:pathLst>
        </a:custGeom>
      </dgm:spPr>
      <dgm:t>
        <a:bodyPr/>
        <a:lstStyle/>
        <a:p>
          <a:endParaRPr lang="en-GB"/>
        </a:p>
      </dgm:t>
    </dgm:pt>
  </dgm:ptLst>
  <dgm:cxnLst>
    <dgm:cxn modelId="{2A9E77EE-9D6B-4C0C-84B4-A12F3776F467}" type="presOf" srcId="{70270AE5-4746-4767-8BD9-B97514E368AF}" destId="{139B93D7-2801-4907-8FE0-45B0ABA196A5}" srcOrd="0" destOrd="0" presId="urn:microsoft.com/office/officeart/2005/8/layout/cycle5"/>
    <dgm:cxn modelId="{36434DC3-3D71-45EE-9CA8-45D4555CC746}" type="presOf" srcId="{CC0A3179-B9F2-4326-8954-8BAC2242B997}" destId="{061761AF-E5E3-4B67-B408-01435AB5096E}" srcOrd="0" destOrd="0" presId="urn:microsoft.com/office/officeart/2005/8/layout/cycle5"/>
    <dgm:cxn modelId="{BBE9B4BA-A968-4DA7-9386-E917E4731AF8}" type="presOf" srcId="{E23F3E88-576D-42DA-B896-8EE05C13447D}" destId="{7D20DD11-71F1-499E-96BB-DE5D14CFC10A}" srcOrd="0" destOrd="0" presId="urn:microsoft.com/office/officeart/2005/8/layout/cycle5"/>
    <dgm:cxn modelId="{269D7923-AF11-4253-96D0-C165E8815512}" type="presOf" srcId="{F8C6129D-C397-4BCF-9B89-59144F3D16FF}" destId="{2B71B88F-E712-4EA1-A129-8CFE33A7B65C}" srcOrd="0" destOrd="0" presId="urn:microsoft.com/office/officeart/2005/8/layout/cycle5"/>
    <dgm:cxn modelId="{593B76D8-D49D-4B3B-8040-1BBDB49E469B}" type="presOf" srcId="{73883ADA-C312-497C-8B34-1758BB6023EE}" destId="{C2BECAAA-3D25-4619-8493-0AD153813430}" srcOrd="0" destOrd="0" presId="urn:microsoft.com/office/officeart/2005/8/layout/cycle5"/>
    <dgm:cxn modelId="{55CAF9EA-1235-49FF-9E6F-219DB1B22619}" srcId="{793E2EE0-7BC8-41A1-9B1A-7BD62E4C6B8A}" destId="{B4B36D1C-4BEB-45DD-9F17-C221ECFFB14E}" srcOrd="1" destOrd="0" parTransId="{D8A87AE1-EAAA-484F-8513-6CD5D2CC13D4}" sibTransId="{065C2D7B-FA90-4BA7-9A91-D5F6F0BD04EC}"/>
    <dgm:cxn modelId="{6C9E58F0-C9CA-467F-9E69-B2D279854A48}" srcId="{793E2EE0-7BC8-41A1-9B1A-7BD62E4C6B8A}" destId="{E23F3E88-576D-42DA-B896-8EE05C13447D}" srcOrd="3" destOrd="0" parTransId="{2934CD4B-078E-4623-BDE7-1484DBD10389}" sibTransId="{F8C6129D-C397-4BCF-9B89-59144F3D16FF}"/>
    <dgm:cxn modelId="{EE3CC969-55EA-4136-AC1E-E767A4C04BA7}" type="presOf" srcId="{065C2D7B-FA90-4BA7-9A91-D5F6F0BD04EC}" destId="{55CF8FAB-CE67-4315-BE9B-C70759D6F704}" srcOrd="0" destOrd="0" presId="urn:microsoft.com/office/officeart/2005/8/layout/cycle5"/>
    <dgm:cxn modelId="{D8943D8F-E55D-4817-946A-50B0ACB607A4}" type="presOf" srcId="{B4B36D1C-4BEB-45DD-9F17-C221ECFFB14E}" destId="{DF17EB3F-66E5-4DD8-AE8B-3077D86EEF49}" srcOrd="0" destOrd="0" presId="urn:microsoft.com/office/officeart/2005/8/layout/cycle5"/>
    <dgm:cxn modelId="{0D9DB0FE-F807-4BE7-8A64-CDE4F5282920}" srcId="{793E2EE0-7BC8-41A1-9B1A-7BD62E4C6B8A}" destId="{73883ADA-C312-497C-8B34-1758BB6023EE}" srcOrd="2" destOrd="0" parTransId="{53490E95-CE00-44F3-AE99-102919A3E2B3}" sibTransId="{70270AE5-4746-4767-8BD9-B97514E368AF}"/>
    <dgm:cxn modelId="{4DD013F2-B59B-4C42-B2AD-0781FA4A358A}" type="presOf" srcId="{793E2EE0-7BC8-41A1-9B1A-7BD62E4C6B8A}" destId="{BE2F6492-ECF3-420A-BA7E-E032F7E335F3}" srcOrd="0" destOrd="0" presId="urn:microsoft.com/office/officeart/2005/8/layout/cycle5"/>
    <dgm:cxn modelId="{5EF54B41-4092-43D7-8838-B6A6BFA1DF07}" srcId="{793E2EE0-7BC8-41A1-9B1A-7BD62E4C6B8A}" destId="{1310FD8A-6435-4A40-9320-FBBBBC2BA910}" srcOrd="0" destOrd="0" parTransId="{6239A844-4F0A-4604-B081-D8E725DB0FF1}" sibTransId="{CC0A3179-B9F2-4326-8954-8BAC2242B997}"/>
    <dgm:cxn modelId="{730FED32-F144-4EA4-B0A2-F8DFEFFC38DC}" type="presOf" srcId="{1310FD8A-6435-4A40-9320-FBBBBC2BA910}" destId="{5943056A-C34E-4343-A6CD-6B50407C765B}" srcOrd="0" destOrd="0" presId="urn:microsoft.com/office/officeart/2005/8/layout/cycle5"/>
    <dgm:cxn modelId="{F42D2167-27BF-4350-8AC0-57BC863DDF4D}" type="presParOf" srcId="{BE2F6492-ECF3-420A-BA7E-E032F7E335F3}" destId="{5943056A-C34E-4343-A6CD-6B50407C765B}" srcOrd="0" destOrd="0" presId="urn:microsoft.com/office/officeart/2005/8/layout/cycle5"/>
    <dgm:cxn modelId="{F8381B97-8640-40FA-8E2F-08868DCC2CC7}" type="presParOf" srcId="{BE2F6492-ECF3-420A-BA7E-E032F7E335F3}" destId="{33BE2668-980B-4172-B15B-5FB52EF1A8D2}" srcOrd="1" destOrd="0" presId="urn:microsoft.com/office/officeart/2005/8/layout/cycle5"/>
    <dgm:cxn modelId="{9B5764D1-507F-406D-8BAA-6DE82CB6AF54}" type="presParOf" srcId="{BE2F6492-ECF3-420A-BA7E-E032F7E335F3}" destId="{061761AF-E5E3-4B67-B408-01435AB5096E}" srcOrd="2" destOrd="0" presId="urn:microsoft.com/office/officeart/2005/8/layout/cycle5"/>
    <dgm:cxn modelId="{A9374831-2835-49B4-9A0B-EE5BC6067E19}" type="presParOf" srcId="{BE2F6492-ECF3-420A-BA7E-E032F7E335F3}" destId="{DF17EB3F-66E5-4DD8-AE8B-3077D86EEF49}" srcOrd="3" destOrd="0" presId="urn:microsoft.com/office/officeart/2005/8/layout/cycle5"/>
    <dgm:cxn modelId="{77C1FC53-E0A4-4886-8EAE-3ED21421D2EA}" type="presParOf" srcId="{BE2F6492-ECF3-420A-BA7E-E032F7E335F3}" destId="{D8F594EA-F213-44C6-92D1-EE22382F696E}" srcOrd="4" destOrd="0" presId="urn:microsoft.com/office/officeart/2005/8/layout/cycle5"/>
    <dgm:cxn modelId="{9C9B1B7B-BAAB-4A1B-AAAA-DF2D4FEC3C9A}" type="presParOf" srcId="{BE2F6492-ECF3-420A-BA7E-E032F7E335F3}" destId="{55CF8FAB-CE67-4315-BE9B-C70759D6F704}" srcOrd="5" destOrd="0" presId="urn:microsoft.com/office/officeart/2005/8/layout/cycle5"/>
    <dgm:cxn modelId="{874E3F3E-B2C6-4AFA-9562-3B41065C9681}" type="presParOf" srcId="{BE2F6492-ECF3-420A-BA7E-E032F7E335F3}" destId="{C2BECAAA-3D25-4619-8493-0AD153813430}" srcOrd="6" destOrd="0" presId="urn:microsoft.com/office/officeart/2005/8/layout/cycle5"/>
    <dgm:cxn modelId="{39B7D2B7-E543-4FE9-985B-FD353EE369F1}" type="presParOf" srcId="{BE2F6492-ECF3-420A-BA7E-E032F7E335F3}" destId="{66C91255-2217-482C-BD3B-B9B3F7EC2328}" srcOrd="7" destOrd="0" presId="urn:microsoft.com/office/officeart/2005/8/layout/cycle5"/>
    <dgm:cxn modelId="{8B5EFF8C-2D03-479C-B840-8EA0FBE2C369}" type="presParOf" srcId="{BE2F6492-ECF3-420A-BA7E-E032F7E335F3}" destId="{139B93D7-2801-4907-8FE0-45B0ABA196A5}" srcOrd="8" destOrd="0" presId="urn:microsoft.com/office/officeart/2005/8/layout/cycle5"/>
    <dgm:cxn modelId="{ADD558F4-F2DB-4133-A06E-68411F6A6408}" type="presParOf" srcId="{BE2F6492-ECF3-420A-BA7E-E032F7E335F3}" destId="{7D20DD11-71F1-499E-96BB-DE5D14CFC10A}" srcOrd="9" destOrd="0" presId="urn:microsoft.com/office/officeart/2005/8/layout/cycle5"/>
    <dgm:cxn modelId="{35BD0E7E-AB38-474A-A4B2-872A9EC60F21}" type="presParOf" srcId="{BE2F6492-ECF3-420A-BA7E-E032F7E335F3}" destId="{E3D75C42-4284-4C09-BED3-92EC953DDC32}" srcOrd="10" destOrd="0" presId="urn:microsoft.com/office/officeart/2005/8/layout/cycle5"/>
    <dgm:cxn modelId="{346DD035-9F71-48AF-BDDB-890789CB193B}" type="presParOf" srcId="{BE2F6492-ECF3-420A-BA7E-E032F7E335F3}" destId="{2B71B88F-E712-4EA1-A129-8CFE33A7B65C}" srcOrd="11" destOrd="0" presId="urn:microsoft.com/office/officeart/2005/8/layout/cycle5"/>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943056A-C34E-4343-A6CD-6B50407C765B}">
      <dsp:nvSpPr>
        <dsp:cNvPr id="0" name=""/>
        <dsp:cNvSpPr/>
      </dsp:nvSpPr>
      <dsp:spPr>
        <a:xfrm>
          <a:off x="2171923" y="1764"/>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504"/>
            </a:spcAft>
          </a:pPr>
          <a:r>
            <a:rPr lang="en-GB" sz="1200" kern="1200">
              <a:solidFill>
                <a:sysClr val="window" lastClr="FFFFFF"/>
              </a:solidFill>
              <a:latin typeface="Calibri"/>
              <a:ea typeface="+mn-ea"/>
              <a:cs typeface="+mn-cs"/>
            </a:rPr>
            <a:t>1. Planning</a:t>
          </a:r>
        </a:p>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 </a:t>
          </a:r>
          <a:r>
            <a:rPr lang="en-GB" sz="900" kern="1200">
              <a:solidFill>
                <a:sysClr val="window" lastClr="FFFFFF"/>
              </a:solidFill>
              <a:latin typeface="Calibri"/>
              <a:ea typeface="+mn-ea"/>
              <a:cs typeface="+mn-cs"/>
            </a:rPr>
            <a:t>How will it be carried out?</a:t>
          </a:r>
        </a:p>
      </dsp:txBody>
      <dsp:txXfrm>
        <a:off x="2171923" y="1764"/>
        <a:ext cx="1142553" cy="742659"/>
      </dsp:txXfrm>
    </dsp:sp>
    <dsp:sp modelId="{061761AF-E5E3-4B67-B408-01435AB5096E}">
      <dsp:nvSpPr>
        <dsp:cNvPr id="0" name=""/>
        <dsp:cNvSpPr/>
      </dsp:nvSpPr>
      <dsp:spPr>
        <a:xfrm>
          <a:off x="1516093" y="373093"/>
          <a:ext cx="2454212" cy="2454212"/>
        </a:xfrm>
        <a:custGeom>
          <a:avLst/>
          <a:gdLst/>
          <a:ahLst/>
          <a:cxnLst/>
          <a:rect l="0" t="0" r="0" b="0"/>
          <a:pathLst>
            <a:path>
              <a:moveTo>
                <a:pt x="1956148" y="240046"/>
              </a:moveTo>
              <a:arcTo wR="1227106" hR="1227106" stAng="183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DF17EB3F-66E5-4DD8-AE8B-3077D86EEF49}">
      <dsp:nvSpPr>
        <dsp:cNvPr id="0" name=""/>
        <dsp:cNvSpPr/>
      </dsp:nvSpPr>
      <dsp:spPr>
        <a:xfrm>
          <a:off x="3399029" y="1228870"/>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2. Monitoring</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How well is the project progressing?</a:t>
          </a:r>
        </a:p>
      </dsp:txBody>
      <dsp:txXfrm>
        <a:off x="3399029" y="1228870"/>
        <a:ext cx="1142553" cy="742659"/>
      </dsp:txXfrm>
    </dsp:sp>
    <dsp:sp modelId="{55CF8FAB-CE67-4315-BE9B-C70759D6F704}">
      <dsp:nvSpPr>
        <dsp:cNvPr id="0" name=""/>
        <dsp:cNvSpPr/>
      </dsp:nvSpPr>
      <dsp:spPr>
        <a:xfrm>
          <a:off x="1516093" y="373093"/>
          <a:ext cx="2454212" cy="2454212"/>
        </a:xfrm>
        <a:custGeom>
          <a:avLst/>
          <a:gdLst/>
          <a:ahLst/>
          <a:cxnLst/>
          <a:rect l="0" t="0" r="0" b="0"/>
          <a:pathLst>
            <a:path>
              <a:moveTo>
                <a:pt x="2327017" y="1771149"/>
              </a:moveTo>
              <a:arcTo wR="1227106" hR="1227106" stAng="15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C2BECAAA-3D25-4619-8493-0AD153813430}">
      <dsp:nvSpPr>
        <dsp:cNvPr id="0" name=""/>
        <dsp:cNvSpPr/>
      </dsp:nvSpPr>
      <dsp:spPr>
        <a:xfrm>
          <a:off x="2171923" y="2455976"/>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3. Evaluation</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Was the project a success?</a:t>
          </a:r>
        </a:p>
      </dsp:txBody>
      <dsp:txXfrm>
        <a:off x="2171923" y="2455976"/>
        <a:ext cx="1142553" cy="742659"/>
      </dsp:txXfrm>
    </dsp:sp>
    <dsp:sp modelId="{139B93D7-2801-4907-8FE0-45B0ABA196A5}">
      <dsp:nvSpPr>
        <dsp:cNvPr id="0" name=""/>
        <dsp:cNvSpPr/>
      </dsp:nvSpPr>
      <dsp:spPr>
        <a:xfrm>
          <a:off x="1516093" y="373093"/>
          <a:ext cx="2454212" cy="2454212"/>
        </a:xfrm>
        <a:custGeom>
          <a:avLst/>
          <a:gdLst/>
          <a:ahLst/>
          <a:cxnLst/>
          <a:rect l="0" t="0" r="0" b="0"/>
          <a:pathLst>
            <a:path>
              <a:moveTo>
                <a:pt x="498063" y="2214165"/>
              </a:moveTo>
              <a:arcTo wR="1227106" hR="1227106" stAng="75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7D20DD11-71F1-499E-96BB-DE5D14CFC10A}">
      <dsp:nvSpPr>
        <dsp:cNvPr id="0" name=""/>
        <dsp:cNvSpPr/>
      </dsp:nvSpPr>
      <dsp:spPr>
        <a:xfrm>
          <a:off x="944817" y="1228870"/>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4. Learning</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What lessons can be learnt?</a:t>
          </a:r>
        </a:p>
      </dsp:txBody>
      <dsp:txXfrm>
        <a:off x="944817" y="1228870"/>
        <a:ext cx="1142553" cy="742659"/>
      </dsp:txXfrm>
    </dsp:sp>
    <dsp:sp modelId="{2B71B88F-E712-4EA1-A129-8CFE33A7B65C}">
      <dsp:nvSpPr>
        <dsp:cNvPr id="0" name=""/>
        <dsp:cNvSpPr/>
      </dsp:nvSpPr>
      <dsp:spPr>
        <a:xfrm>
          <a:off x="1516093" y="373093"/>
          <a:ext cx="2454212" cy="2454212"/>
        </a:xfrm>
        <a:custGeom>
          <a:avLst/>
          <a:gdLst/>
          <a:ahLst/>
          <a:cxnLst/>
          <a:rect l="0" t="0" r="0" b="0"/>
          <a:pathLst>
            <a:path>
              <a:moveTo>
                <a:pt x="127194" y="683062"/>
              </a:moveTo>
              <a:arcTo wR="1227106" hR="1227106" stAng="123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943056A-C34E-4343-A6CD-6B50407C765B}">
      <dsp:nvSpPr>
        <dsp:cNvPr id="0" name=""/>
        <dsp:cNvSpPr/>
      </dsp:nvSpPr>
      <dsp:spPr>
        <a:xfrm>
          <a:off x="2171923" y="1764"/>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504"/>
            </a:spcAft>
          </a:pPr>
          <a:r>
            <a:rPr lang="en-GB" sz="1200" kern="1200">
              <a:solidFill>
                <a:sysClr val="window" lastClr="FFFFFF"/>
              </a:solidFill>
              <a:latin typeface="Calibri"/>
              <a:ea typeface="+mn-ea"/>
              <a:cs typeface="+mn-cs"/>
            </a:rPr>
            <a:t>1. Planning</a:t>
          </a:r>
        </a:p>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 </a:t>
          </a:r>
          <a:r>
            <a:rPr lang="en-GB" sz="900" kern="1200">
              <a:solidFill>
                <a:sysClr val="window" lastClr="FFFFFF"/>
              </a:solidFill>
              <a:latin typeface="Calibri"/>
              <a:ea typeface="+mn-ea"/>
              <a:cs typeface="+mn-cs"/>
            </a:rPr>
            <a:t>How will it be carried out?</a:t>
          </a:r>
        </a:p>
      </dsp:txBody>
      <dsp:txXfrm>
        <a:off x="2171923" y="1764"/>
        <a:ext cx="1142553" cy="742659"/>
      </dsp:txXfrm>
    </dsp:sp>
    <dsp:sp modelId="{061761AF-E5E3-4B67-B408-01435AB5096E}">
      <dsp:nvSpPr>
        <dsp:cNvPr id="0" name=""/>
        <dsp:cNvSpPr/>
      </dsp:nvSpPr>
      <dsp:spPr>
        <a:xfrm>
          <a:off x="1516093" y="373093"/>
          <a:ext cx="2454212" cy="2454212"/>
        </a:xfrm>
        <a:custGeom>
          <a:avLst/>
          <a:gdLst/>
          <a:ahLst/>
          <a:cxnLst/>
          <a:rect l="0" t="0" r="0" b="0"/>
          <a:pathLst>
            <a:path>
              <a:moveTo>
                <a:pt x="1956148" y="240046"/>
              </a:moveTo>
              <a:arcTo wR="1227106" hR="1227106" stAng="183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DF17EB3F-66E5-4DD8-AE8B-3077D86EEF49}">
      <dsp:nvSpPr>
        <dsp:cNvPr id="0" name=""/>
        <dsp:cNvSpPr/>
      </dsp:nvSpPr>
      <dsp:spPr>
        <a:xfrm>
          <a:off x="3399029" y="1228870"/>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2. Monitoring</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How well is the project progressing?</a:t>
          </a:r>
        </a:p>
      </dsp:txBody>
      <dsp:txXfrm>
        <a:off x="3399029" y="1228870"/>
        <a:ext cx="1142553" cy="742659"/>
      </dsp:txXfrm>
    </dsp:sp>
    <dsp:sp modelId="{55CF8FAB-CE67-4315-BE9B-C70759D6F704}">
      <dsp:nvSpPr>
        <dsp:cNvPr id="0" name=""/>
        <dsp:cNvSpPr/>
      </dsp:nvSpPr>
      <dsp:spPr>
        <a:xfrm>
          <a:off x="1516093" y="373093"/>
          <a:ext cx="2454212" cy="2454212"/>
        </a:xfrm>
        <a:custGeom>
          <a:avLst/>
          <a:gdLst/>
          <a:ahLst/>
          <a:cxnLst/>
          <a:rect l="0" t="0" r="0" b="0"/>
          <a:pathLst>
            <a:path>
              <a:moveTo>
                <a:pt x="2327017" y="1771149"/>
              </a:moveTo>
              <a:arcTo wR="1227106" hR="1227106" stAng="15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C2BECAAA-3D25-4619-8493-0AD153813430}">
      <dsp:nvSpPr>
        <dsp:cNvPr id="0" name=""/>
        <dsp:cNvSpPr/>
      </dsp:nvSpPr>
      <dsp:spPr>
        <a:xfrm>
          <a:off x="2171923" y="2455976"/>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3. Evaluation</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Was the project a success?</a:t>
          </a:r>
        </a:p>
      </dsp:txBody>
      <dsp:txXfrm>
        <a:off x="2171923" y="2455976"/>
        <a:ext cx="1142553" cy="742659"/>
      </dsp:txXfrm>
    </dsp:sp>
    <dsp:sp modelId="{139B93D7-2801-4907-8FE0-45B0ABA196A5}">
      <dsp:nvSpPr>
        <dsp:cNvPr id="0" name=""/>
        <dsp:cNvSpPr/>
      </dsp:nvSpPr>
      <dsp:spPr>
        <a:xfrm>
          <a:off x="1516093" y="373093"/>
          <a:ext cx="2454212" cy="2454212"/>
        </a:xfrm>
        <a:custGeom>
          <a:avLst/>
          <a:gdLst/>
          <a:ahLst/>
          <a:cxnLst/>
          <a:rect l="0" t="0" r="0" b="0"/>
          <a:pathLst>
            <a:path>
              <a:moveTo>
                <a:pt x="498063" y="2214165"/>
              </a:moveTo>
              <a:arcTo wR="1227106" hR="1227106" stAng="75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7D20DD11-71F1-499E-96BB-DE5D14CFC10A}">
      <dsp:nvSpPr>
        <dsp:cNvPr id="0" name=""/>
        <dsp:cNvSpPr/>
      </dsp:nvSpPr>
      <dsp:spPr>
        <a:xfrm>
          <a:off x="944817" y="1228870"/>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4. Learning</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What lessons can be learnt?</a:t>
          </a:r>
        </a:p>
      </dsp:txBody>
      <dsp:txXfrm>
        <a:off x="944817" y="1228870"/>
        <a:ext cx="1142553" cy="742659"/>
      </dsp:txXfrm>
    </dsp:sp>
    <dsp:sp modelId="{2B71B88F-E712-4EA1-A129-8CFE33A7B65C}">
      <dsp:nvSpPr>
        <dsp:cNvPr id="0" name=""/>
        <dsp:cNvSpPr/>
      </dsp:nvSpPr>
      <dsp:spPr>
        <a:xfrm>
          <a:off x="1516093" y="373093"/>
          <a:ext cx="2454212" cy="2454212"/>
        </a:xfrm>
        <a:custGeom>
          <a:avLst/>
          <a:gdLst/>
          <a:ahLst/>
          <a:cxnLst/>
          <a:rect l="0" t="0" r="0" b="0"/>
          <a:pathLst>
            <a:path>
              <a:moveTo>
                <a:pt x="127194" y="683062"/>
              </a:moveTo>
              <a:arcTo wR="1227106" hR="1227106" stAng="123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792BB-934F-4A68-8672-0807FA1A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25</Pages>
  <Words>4449</Words>
  <Characters>25363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Paulmo01</dc:creator>
  <cp:lastModifiedBy>Paulmo01</cp:lastModifiedBy>
  <cp:revision>4</cp:revision>
  <cp:lastPrinted>2015-12-22T13:23:00Z</cp:lastPrinted>
  <dcterms:created xsi:type="dcterms:W3CDTF">2017-01-30T13:32:00Z</dcterms:created>
  <dcterms:modified xsi:type="dcterms:W3CDTF">2017-02-08T15:23:00Z</dcterms:modified>
</cp:coreProperties>
</file>